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Style16"/>
        <w:pageBreakBefore w:val="false"/>
        <w:rPr/>
      </w:pPr>
      <w:r>
        <w:rPr/>
      </w:r>
    </w:p>
    <w:tbl>
      <w:tblPr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Согласовано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Глава Администрации Лахденпохского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муниципального района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________________             В.М. Пинигин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«_____» __________________________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Утверждаю</w:t>
            </w:r>
          </w:p>
          <w:p>
            <w:pPr>
              <w:pStyle w:val="Normal"/>
              <w:jc w:val="right"/>
              <w:rPr/>
            </w:pPr>
            <w:r>
              <w:rPr/>
              <w:t>Председатель Общественного совета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>
                <w:lang w:eastAsia="ru-RU"/>
              </w:rPr>
              <w:t>_____________________Г.И. Каковка</w:t>
            </w:r>
          </w:p>
          <w:p>
            <w:pPr>
              <w:pStyle w:val="Normal"/>
              <w:jc w:val="right"/>
              <w:rPr/>
            </w:pPr>
            <w:r>
              <w:rPr>
                <w:lang w:eastAsia="ru-RU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«_____» __________________г.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lang w:eastAsia="ru-RU"/>
        </w:rPr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 РАБОТЫ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lang w:eastAsia="ru-RU"/>
        </w:rPr>
      </w:pPr>
      <w:r>
        <w:rPr>
          <w:b/>
        </w:rPr>
        <w:t xml:space="preserve">Общественного совета </w:t>
      </w:r>
      <w:r>
        <w:rPr>
          <w:b/>
          <w:bCs/>
          <w:lang w:eastAsia="ru-RU"/>
        </w:rPr>
        <w:t xml:space="preserve">по проведению независимой оценки качества  в муниципальных учреждениях образования, культуры, социального обслуживания, подведомственных администрации Лахденпохского муниципального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</w:rPr>
        <w:t>на 201</w:t>
      </w:r>
      <w:r>
        <w:rPr>
          <w:b/>
          <w:lang w:val="en-US"/>
        </w:rPr>
        <w:t>8</w:t>
      </w:r>
      <w:r>
        <w:rPr>
          <w:b/>
        </w:rPr>
        <w:t xml:space="preserve">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7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02"/>
        <w:gridCol w:w="4531"/>
        <w:gridCol w:w="1679"/>
        <w:gridCol w:w="2262"/>
      </w:tblGrid>
      <w:tr>
        <w:trPr>
          <w:trHeight w:val="390" w:hRule="atLeast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п\п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jc w:val="center"/>
              <w:rPr>
                <w:b/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jc w:val="center"/>
              <w:rPr>
                <w:b/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593" w:hRule="atLeast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1.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Проведение Заседания общественного совета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III </w:t>
            </w:r>
            <w:r>
              <w:rPr/>
              <w:t xml:space="preserve"> квартал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IV  </w:t>
            </w:r>
            <w:r>
              <w:rPr>
                <w:lang w:val="ru-RU"/>
              </w:rPr>
              <w:t>квартал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Общественный совет</w:t>
            </w:r>
          </w:p>
        </w:tc>
      </w:tr>
      <w:tr>
        <w:trPr>
          <w:trHeight w:val="584" w:hRule="atLeast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2.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Утверждение плана работы Общественного совета на 201</w:t>
            </w:r>
            <w:r>
              <w:rPr/>
              <w:t>9</w:t>
            </w:r>
            <w:r>
              <w:rPr/>
              <w:t xml:space="preserve">год; 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>
                <w:lang w:val="en-US"/>
              </w:rPr>
              <w:t>IV</w:t>
            </w:r>
            <w:r>
              <w:rPr/>
              <w:t xml:space="preserve"> квартал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Общественный совет</w:t>
            </w:r>
          </w:p>
        </w:tc>
      </w:tr>
      <w:tr>
        <w:trPr>
          <w:trHeight w:val="584" w:hRule="atLeast"/>
        </w:trPr>
        <w:tc>
          <w:tcPr>
            <w:tcW w:w="70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3.</w:t>
            </w:r>
          </w:p>
        </w:tc>
        <w:tc>
          <w:tcPr>
            <w:tcW w:w="453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Рассмотрение проектов документации о закупках работ, услуг, а также проекта государственного контракта, заключаемого </w:t>
            </w:r>
            <w:r>
              <w:rPr>
                <w:lang w:val="ru-RU"/>
              </w:rPr>
              <w:t>образовательной организацией Лахденпохского района</w:t>
            </w:r>
            <w:r>
              <w:rPr/>
              <w:t xml:space="preserve"> с организацией - оператором, которая осуществляет сбор и обобщение информации о качестве условий осуществления образовательной деятельности организациями </w:t>
            </w: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>
                <w:lang w:val="en-US"/>
              </w:rPr>
            </w:pPr>
            <w:r>
              <w:rPr>
                <w:lang w:val="en-US"/>
              </w:rPr>
              <w:t xml:space="preserve">IV  </w:t>
            </w:r>
            <w:r>
              <w:rPr>
                <w:lang w:val="ru-RU"/>
              </w:rPr>
              <w:t>квартал</w:t>
            </w:r>
          </w:p>
        </w:tc>
        <w:tc>
          <w:tcPr>
            <w:tcW w:w="226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bookmarkStart w:id="0" w:name="__DdeLink__230_3329044697"/>
            <w:r>
              <w:rPr/>
              <w:t>Общественный совет</w:t>
            </w:r>
            <w:bookmarkEnd w:id="0"/>
          </w:p>
        </w:tc>
      </w:tr>
      <w:tr>
        <w:trPr>
          <w:trHeight w:val="1114" w:hRule="atLeast"/>
        </w:trPr>
        <w:tc>
          <w:tcPr>
            <w:tcW w:w="70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4.</w:t>
            </w:r>
          </w:p>
        </w:tc>
        <w:tc>
          <w:tcPr>
            <w:tcW w:w="453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Размещение информации о членах Совета по НОК, протоколов заседаний, информации о деятельности Совета по НОК на порталах  </w:t>
            </w:r>
            <w:r>
              <w:rPr/>
              <w:t xml:space="preserve">Администрации Лахденпохского муниципального района и </w:t>
            </w:r>
            <w:r>
              <w:rPr/>
              <w:t xml:space="preserve">муниципальных организаций </w:t>
            </w: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постоянно</w:t>
            </w:r>
          </w:p>
        </w:tc>
        <w:tc>
          <w:tcPr>
            <w:tcW w:w="226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Общественный совет</w:t>
            </w:r>
          </w:p>
        </w:tc>
      </w:tr>
      <w:tr>
        <w:trPr>
          <w:trHeight w:val="1114" w:hRule="atLeast"/>
        </w:trPr>
        <w:tc>
          <w:tcPr>
            <w:tcW w:w="70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5.</w:t>
            </w:r>
          </w:p>
        </w:tc>
        <w:tc>
          <w:tcPr>
            <w:tcW w:w="453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Освещение деятельности Совета по НОК в электронных и печатных СМИ </w:t>
            </w: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постоянно</w:t>
            </w:r>
          </w:p>
        </w:tc>
        <w:tc>
          <w:tcPr>
            <w:tcW w:w="226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Общественный совет</w:t>
            </w:r>
          </w:p>
        </w:tc>
      </w:tr>
      <w:tr>
        <w:trPr>
          <w:trHeight w:val="1467" w:hRule="atLeast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Определение перечня образовательных учреждений  в отношении деятельности, которых будет проведена независимая оценка качества  в 201</w:t>
            </w:r>
            <w:r>
              <w:rPr/>
              <w:t xml:space="preserve">9-2020 </w:t>
            </w:r>
            <w:r>
              <w:rPr/>
              <w:t>год</w:t>
            </w:r>
            <w:r>
              <w:rPr/>
              <w:t>ы</w:t>
            </w:r>
            <w:r>
              <w:rPr/>
              <w:t xml:space="preserve">. 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>
                <w:lang w:val="en-US"/>
              </w:rPr>
              <w:t>IV</w:t>
            </w:r>
            <w:r>
              <w:rPr/>
              <w:t xml:space="preserve"> квартал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Общественный совет</w:t>
            </w:r>
          </w:p>
        </w:tc>
      </w:tr>
      <w:tr>
        <w:trPr>
          <w:trHeight w:val="1358" w:hRule="atLeast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Утверждение графика проведения независимой оценки качества деятельности образовательных учреждений  на 201</w:t>
            </w:r>
            <w:r>
              <w:rPr/>
              <w:t xml:space="preserve">9-2020 </w:t>
            </w:r>
            <w:r>
              <w:rPr/>
              <w:t xml:space="preserve"> год</w:t>
            </w:r>
            <w:r>
              <w:rPr/>
              <w:t>ы</w:t>
            </w:r>
            <w:r>
              <w:rPr/>
              <w:t>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>
                <w:lang w:val="en-US"/>
              </w:rPr>
              <w:t>IV</w:t>
            </w:r>
            <w:r>
              <w:rPr/>
              <w:t xml:space="preserve"> квартал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Общественный совет</w:t>
            </w:r>
          </w:p>
        </w:tc>
      </w:tr>
      <w:tr>
        <w:trPr>
          <w:trHeight w:val="2540" w:hRule="atLeast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6.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ahoma"/>
                <w:color w:val="000000"/>
              </w:rPr>
              <w:t>Формирование предложений для разработки технического задания организации-оператору, которая будет осуществлять сбор, фиксацию, обобщение и анализ информации о качестве оказания услуг образовательными учреждениями и учреждениями культуры.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>
                <w:lang w:val="en-US"/>
              </w:rPr>
              <w:t>IV</w:t>
            </w:r>
            <w:r>
              <w:rPr/>
              <w:t xml:space="preserve"> квартал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Общественный совет</w:t>
            </w:r>
          </w:p>
        </w:tc>
      </w:tr>
      <w:tr>
        <w:trPr>
          <w:trHeight w:val="841" w:hRule="atLeast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7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Tahoma"/>
                <w:color w:val="000000"/>
              </w:rPr>
            </w:pPr>
            <w:r>
              <w:rPr/>
              <w:t xml:space="preserve">Определение сроков проведения мероприятий по независимой оценке качества  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>
                <w:lang w:val="en-US"/>
              </w:rPr>
              <w:t>IV</w:t>
            </w:r>
            <w:r>
              <w:rPr/>
              <w:t xml:space="preserve"> квартал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Общественный совет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Ознакомление с нормативными правовыми документами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 xml:space="preserve">постоянно 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Члены Общественного совета</w:t>
            </w:r>
            <w:r>
              <w:rPr>
                <w:lang w:val="en-US"/>
              </w:rPr>
              <w:t>;</w:t>
            </w:r>
          </w:p>
          <w:p>
            <w:pPr>
              <w:pStyle w:val="Normal"/>
              <w:ind w:left="-39" w:hanging="0"/>
              <w:rPr/>
            </w:pPr>
            <w:r>
              <w:rPr>
                <w:lang w:val="ru-RU"/>
              </w:rPr>
              <w:t>Отдел социальной работы АЛМР</w:t>
            </w:r>
            <w:r>
              <w:rPr/>
              <w:t xml:space="preserve"> </w:t>
            </w:r>
          </w:p>
          <w:p>
            <w:pPr>
              <w:pStyle w:val="Normal"/>
              <w:ind w:left="-39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9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Разработка планов мероприятий по улучшению качества работы  учреждений – участников независимой оценке качества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 xml:space="preserve">Весь период 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 xml:space="preserve">Общественный совет 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1</w:t>
            </w:r>
            <w:r>
              <w:rPr/>
              <w:t>0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Корректировка порядка проведения независимой оценки качества работы муниципальных учреждений – участников независимой оценке качества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По потребности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 xml:space="preserve">Члены Общественного совета совместно с компетентными лицами 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1</w:t>
            </w:r>
            <w:r>
              <w:rPr/>
              <w:t>1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Организация работы по выявлению общественного мнения о качестве работы оцениваемых муниципальных учреждений с помощью анкетирования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>По отдельному графику</w:t>
            </w:r>
            <w:r>
              <w:rPr/>
              <w:t xml:space="preserve"> 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39" w:hanging="0"/>
              <w:rPr/>
            </w:pPr>
            <w:r>
              <w:rPr/>
              <w:t xml:space="preserve">Члены Общественного совета совместно с администрацией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35c9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b47c86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LibreOffice/6.0.1.1$Windows_x86 LibreOffice_project/60bfb1526849283ce2491346ed2aa51c465abfe6</Application>
  <Pages>2</Pages>
  <Words>314</Words>
  <Characters>2459</Characters>
  <CharactersWithSpaces>2746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2016-12-18T15:00:00Z</dcterms:created>
  <dc:creator>User</dc:creator>
  <dc:description/>
  <dc:language>ru-RU</dc:language>
  <cp:lastModifiedBy/>
  <cp:lastPrinted>2018-10-17T12:50:33Z</cp:lastPrinted>
  <dcterms:modified xsi:type="dcterms:W3CDTF">2018-10-17T12:50:44Z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