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</w:t>
      </w:r>
      <w:r>
        <w:rPr>
          <w:sz w:val="28"/>
          <w:szCs w:val="28"/>
        </w:rPr>
        <w:t>июня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489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 xml:space="preserve">О разрешении ООО «ОНЕГО ЮСТ» подготовить </w:t>
      </w:r>
      <w:bookmarkStart w:id="0" w:name="__DdeLink__48_3903746391"/>
      <w:r>
        <w:rPr>
          <w:sz w:val="28"/>
          <w:szCs w:val="28"/>
        </w:rPr>
        <w:t>документацию по планировке территории в составе проекта планировки территории совмещенного с проектом межевания по объекту «Подводящие газопроводы к газовым котельным Лахденпохского района Республики Карелия»</w:t>
      </w:r>
      <w:bookmarkEnd w:id="0"/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«ОНЕГО ЮСТ» о разрешении подготовки документации по планировке территории в составе проекта планировки территории совмещенного с проектом межевания по объекту «Подводящие газопроводы к газовым котельным Лахденпохского района Республики Карелия» (вх. № 3899 от 27.05.2021),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Генеральными планами и Правилами землепользования и застройки Куркиекского сельского поселения, Элисенваарского сельского поселения, Хийтольского сельского поселения, Мийнальского сельского поселения, Лахденпохского городского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>Разрешить ООО «ОНЕГО ЮСТ» подготовку документации по планировке территории в составе проекта планировки территории совмещенного с проектом межевания по объекту «Подводящие газопроводы к газовым котельным Лахденпохского района Республики Карелия».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1" w:name="_GoBack"/>
      <w:bookmarkEnd w:id="1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Application>LibreOffice/6.1.0.3$Windows_X86_64 LibreOffice_project/efb621ed25068d70781dc026f7e9c5187a4decd1</Application>
  <Pages>2</Pages>
  <Words>248</Words>
  <Characters>1863</Characters>
  <CharactersWithSpaces>2200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2021-06-17T14:22:19Z</cp:lastPrinted>
  <dcterms:modified xsi:type="dcterms:W3CDTF">2021-06-22T10:47:13Z</dcterms:modified>
  <cp:revision>97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