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ЛАХДЕНПОХСКОГО МУНИЦИПАЛЬНОГО РАЙОНА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F42347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04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F41A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августа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</w:t>
      </w:r>
      <w:r w:rsidR="005F2A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0C04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6074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467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района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3 и 17 Решения Совета Лахденпохского муниципального района от 24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27/215-6 «Об утверждении Положения о бюджетном процессе в Лахденпохском муниципальном районе» Администрация Лахденпохского муниципального района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0D7A0D">
        <w:rPr>
          <w:rFonts w:ascii="Times New Roman" w:hAnsi="Times New Roman" w:cs="Times New Roman"/>
          <w:sz w:val="28"/>
          <w:szCs w:val="28"/>
        </w:rPr>
        <w:t>17</w:t>
      </w:r>
      <w:r w:rsidRPr="0024723A">
        <w:rPr>
          <w:rFonts w:ascii="Times New Roman" w:hAnsi="Times New Roman" w:cs="Times New Roman"/>
          <w:sz w:val="28"/>
          <w:szCs w:val="28"/>
        </w:rPr>
        <w:t>.1</w:t>
      </w:r>
      <w:r w:rsidR="00DD7C46" w:rsidRPr="0024723A">
        <w:rPr>
          <w:rFonts w:ascii="Times New Roman" w:hAnsi="Times New Roman" w:cs="Times New Roman"/>
          <w:sz w:val="28"/>
          <w:szCs w:val="28"/>
        </w:rPr>
        <w:t>2</w:t>
      </w:r>
      <w:r w:rsidRPr="0024723A">
        <w:rPr>
          <w:rFonts w:ascii="Times New Roman" w:hAnsi="Times New Roman" w:cs="Times New Roman"/>
          <w:sz w:val="28"/>
          <w:szCs w:val="28"/>
        </w:rPr>
        <w:t>.202</w:t>
      </w:r>
      <w:r w:rsidR="000D7A0D">
        <w:rPr>
          <w:rFonts w:ascii="Times New Roman" w:hAnsi="Times New Roman" w:cs="Times New Roman"/>
          <w:sz w:val="28"/>
          <w:szCs w:val="28"/>
        </w:rPr>
        <w:t>4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721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>1.1. дополнить Приложение 1 «Перечень кодов целевых статей расходов бюджета Лахденпохского муниципального района»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EF41A0" w:rsidRDefault="00EF41A0" w:rsidP="00EF41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A55A74" w:rsidRPr="00EF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00044080</w:t>
            </w:r>
          </w:p>
        </w:tc>
        <w:tc>
          <w:tcPr>
            <w:tcW w:w="7875" w:type="dxa"/>
          </w:tcPr>
          <w:p w:rsidR="00A55A74" w:rsidRPr="00A55A74" w:rsidRDefault="00A55A74" w:rsidP="00A55A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A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</w:t>
            </w:r>
            <w:r w:rsidRPr="00A55A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консолидированный бюджет Республики Карелия</w:t>
            </w:r>
          </w:p>
          <w:p w:rsidR="00D11C52" w:rsidRPr="00A55A74" w:rsidRDefault="00D11C52" w:rsidP="00653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F751C6" w:rsidRDefault="00F751C6" w:rsidP="00F751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5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дополнить 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района» следующими направлениями расходов:</w:t>
      </w:r>
    </w:p>
    <w:p w:rsidR="00F751C6" w:rsidRDefault="00F751C6" w:rsidP="00E22223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397C68" w:rsidRPr="00397C68" w:rsidRDefault="00237811" w:rsidP="00F02A6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64E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8C55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44080</w:t>
      </w:r>
      <w:r w:rsidRPr="00412C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97C68" w:rsidRPr="00397C68">
        <w:rPr>
          <w:rFonts w:ascii="Times New Roman" w:hAnsi="Times New Roman" w:cs="Times New Roman"/>
          <w:b/>
          <w:bCs/>
          <w:i/>
          <w:sz w:val="28"/>
          <w:szCs w:val="28"/>
        </w:rPr>
        <w:t>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</w:t>
      </w:r>
    </w:p>
    <w:p w:rsidR="000D03D4" w:rsidRPr="000D03D4" w:rsidRDefault="000D03D4" w:rsidP="000D03D4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F67E0" w:rsidRDefault="000D03D4" w:rsidP="005F67E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3D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67E0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Лахденпохского муниципального района</w:t>
      </w:r>
      <w:r w:rsidR="005F67E0" w:rsidRPr="005F67E0">
        <w:rPr>
          <w:rFonts w:ascii="Times New Roman" w:hAnsi="Times New Roman" w:cs="Times New Roman"/>
          <w:sz w:val="28"/>
          <w:szCs w:val="28"/>
        </w:rPr>
        <w:t xml:space="preserve"> </w:t>
      </w:r>
      <w:r w:rsidR="00C73BDA">
        <w:rPr>
          <w:rFonts w:ascii="Times New Roman" w:hAnsi="Times New Roman" w:cs="Times New Roman"/>
          <w:sz w:val="28"/>
          <w:szCs w:val="28"/>
        </w:rPr>
        <w:t>за счет средств иного межбюджетного трансферта из бюджета Республики Карелия</w:t>
      </w:r>
      <w:r w:rsidR="005F67E0" w:rsidRPr="005F67E0">
        <w:rPr>
          <w:rFonts w:ascii="Times New Roman" w:hAnsi="Times New Roman" w:cs="Times New Roman"/>
          <w:sz w:val="28"/>
          <w:szCs w:val="28"/>
        </w:rPr>
        <w:t xml:space="preserve"> на 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</w:t>
      </w:r>
      <w:r w:rsidR="008F4A18">
        <w:rPr>
          <w:rFonts w:ascii="Times New Roman" w:hAnsi="Times New Roman" w:cs="Times New Roman"/>
          <w:sz w:val="28"/>
          <w:szCs w:val="28"/>
        </w:rPr>
        <w:t xml:space="preserve">, </w:t>
      </w:r>
      <w:r w:rsidR="00312482"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включая предоставление</w:t>
      </w:r>
      <w:r w:rsidR="0031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средств</w:t>
      </w:r>
      <w:r w:rsidR="00312482"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24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иного межбюджетного трансферта</w:t>
      </w:r>
      <w:r w:rsidR="00312482"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бюджетам поселений Лахденпохского муниципального района</w:t>
      </w:r>
      <w:r w:rsidR="005F67E0" w:rsidRPr="005F67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2E10" w:rsidRPr="008F2E10" w:rsidRDefault="00C73BDA" w:rsidP="00C73B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66" w:rsidRDefault="000A1BCF" w:rsidP="000338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F1C67" w:rsidRPr="00DF1C6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F1C67" w:rsidRPr="00DF1C67" w:rsidRDefault="00D45966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Лахденпохского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    </w:t>
      </w:r>
      <w:r w:rsidR="000A1BCF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="000A1BCF">
        <w:rPr>
          <w:rFonts w:ascii="Times New Roman" w:hAnsi="Times New Roman" w:cs="Times New Roman"/>
          <w:sz w:val="28"/>
          <w:szCs w:val="28"/>
        </w:rPr>
        <w:t>Жесткова</w:t>
      </w:r>
      <w:proofErr w:type="spell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BD4828">
        <w:rPr>
          <w:rFonts w:ascii="Times New Roman" w:hAnsi="Times New Roman" w:cs="Times New Roman"/>
        </w:rPr>
        <w:t>Разослать: дело, финансовое управление АЛМР,</w:t>
      </w:r>
      <w:r w:rsidR="00C629B0" w:rsidRPr="00BD4828">
        <w:rPr>
          <w:rFonts w:ascii="Times New Roman" w:hAnsi="Times New Roman" w:cs="Times New Roman"/>
        </w:rPr>
        <w:t xml:space="preserve"> МУ «</w:t>
      </w:r>
      <w:r w:rsidR="000A1BCF" w:rsidRPr="00BD4828">
        <w:rPr>
          <w:rFonts w:ascii="Times New Roman" w:hAnsi="Times New Roman" w:cs="Times New Roman"/>
        </w:rPr>
        <w:t>ЦБ</w:t>
      </w:r>
      <w:r w:rsidR="00C629B0" w:rsidRPr="00BD4828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705A"/>
    <w:rsid w:val="000177CB"/>
    <w:rsid w:val="000237F6"/>
    <w:rsid w:val="00024F07"/>
    <w:rsid w:val="00033867"/>
    <w:rsid w:val="0003501D"/>
    <w:rsid w:val="000359F8"/>
    <w:rsid w:val="00042D9A"/>
    <w:rsid w:val="0004425E"/>
    <w:rsid w:val="000505CB"/>
    <w:rsid w:val="00052256"/>
    <w:rsid w:val="0005702C"/>
    <w:rsid w:val="00091EE4"/>
    <w:rsid w:val="00092C5A"/>
    <w:rsid w:val="00094B62"/>
    <w:rsid w:val="000954CA"/>
    <w:rsid w:val="0009572B"/>
    <w:rsid w:val="000A1BCF"/>
    <w:rsid w:val="000A423C"/>
    <w:rsid w:val="000A5524"/>
    <w:rsid w:val="000B02AD"/>
    <w:rsid w:val="000B66F1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0146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6896"/>
    <w:rsid w:val="002F047D"/>
    <w:rsid w:val="002F1D7A"/>
    <w:rsid w:val="002F2DB3"/>
    <w:rsid w:val="0030184F"/>
    <w:rsid w:val="00304788"/>
    <w:rsid w:val="00307BF1"/>
    <w:rsid w:val="00312482"/>
    <w:rsid w:val="0031642E"/>
    <w:rsid w:val="00321064"/>
    <w:rsid w:val="00321E6D"/>
    <w:rsid w:val="003235B2"/>
    <w:rsid w:val="00333840"/>
    <w:rsid w:val="00340620"/>
    <w:rsid w:val="0034147E"/>
    <w:rsid w:val="0034752C"/>
    <w:rsid w:val="0034791C"/>
    <w:rsid w:val="00355E9D"/>
    <w:rsid w:val="00356C0B"/>
    <w:rsid w:val="00357BE4"/>
    <w:rsid w:val="003647F5"/>
    <w:rsid w:val="00364B70"/>
    <w:rsid w:val="003658B4"/>
    <w:rsid w:val="00366278"/>
    <w:rsid w:val="0037325B"/>
    <w:rsid w:val="00373E14"/>
    <w:rsid w:val="00397C68"/>
    <w:rsid w:val="003B13FC"/>
    <w:rsid w:val="003D546D"/>
    <w:rsid w:val="003D5EA7"/>
    <w:rsid w:val="003E145C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910E2"/>
    <w:rsid w:val="00492D10"/>
    <w:rsid w:val="004A5497"/>
    <w:rsid w:val="004D3440"/>
    <w:rsid w:val="004D3F2E"/>
    <w:rsid w:val="004D7448"/>
    <w:rsid w:val="004D773B"/>
    <w:rsid w:val="004E69F4"/>
    <w:rsid w:val="004F11E5"/>
    <w:rsid w:val="004F4FB1"/>
    <w:rsid w:val="00512E9D"/>
    <w:rsid w:val="005148D7"/>
    <w:rsid w:val="00517E34"/>
    <w:rsid w:val="00524B22"/>
    <w:rsid w:val="00533E34"/>
    <w:rsid w:val="00534AB0"/>
    <w:rsid w:val="00536F6F"/>
    <w:rsid w:val="00541E17"/>
    <w:rsid w:val="00552EC7"/>
    <w:rsid w:val="00552F7A"/>
    <w:rsid w:val="0057257F"/>
    <w:rsid w:val="00587124"/>
    <w:rsid w:val="00587DF6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5F67E0"/>
    <w:rsid w:val="00601FA4"/>
    <w:rsid w:val="00603DCB"/>
    <w:rsid w:val="0060748C"/>
    <w:rsid w:val="00607A10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C55D3"/>
    <w:rsid w:val="008E236A"/>
    <w:rsid w:val="008E7F63"/>
    <w:rsid w:val="008F22F5"/>
    <w:rsid w:val="008F2E10"/>
    <w:rsid w:val="008F4A18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74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7019"/>
    <w:rsid w:val="00B01E2D"/>
    <w:rsid w:val="00B11861"/>
    <w:rsid w:val="00B15F4C"/>
    <w:rsid w:val="00B25A69"/>
    <w:rsid w:val="00B25E67"/>
    <w:rsid w:val="00B30E0E"/>
    <w:rsid w:val="00B326AC"/>
    <w:rsid w:val="00B32AEB"/>
    <w:rsid w:val="00B35428"/>
    <w:rsid w:val="00B365FA"/>
    <w:rsid w:val="00B37574"/>
    <w:rsid w:val="00B61268"/>
    <w:rsid w:val="00B66E22"/>
    <w:rsid w:val="00BA7BF7"/>
    <w:rsid w:val="00BB697E"/>
    <w:rsid w:val="00BB739C"/>
    <w:rsid w:val="00BC1A65"/>
    <w:rsid w:val="00BC247A"/>
    <w:rsid w:val="00BC3648"/>
    <w:rsid w:val="00BD1F9B"/>
    <w:rsid w:val="00BD4828"/>
    <w:rsid w:val="00BE0FB7"/>
    <w:rsid w:val="00BE7352"/>
    <w:rsid w:val="00BF1751"/>
    <w:rsid w:val="00BF1864"/>
    <w:rsid w:val="00BF225B"/>
    <w:rsid w:val="00BF6ED7"/>
    <w:rsid w:val="00C03211"/>
    <w:rsid w:val="00C0720A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73BDA"/>
    <w:rsid w:val="00C80EF6"/>
    <w:rsid w:val="00C830EE"/>
    <w:rsid w:val="00C921B6"/>
    <w:rsid w:val="00C96FBF"/>
    <w:rsid w:val="00CA4CAE"/>
    <w:rsid w:val="00CA536F"/>
    <w:rsid w:val="00CB32CD"/>
    <w:rsid w:val="00CC3096"/>
    <w:rsid w:val="00CE5C5B"/>
    <w:rsid w:val="00CF1619"/>
    <w:rsid w:val="00CF58F1"/>
    <w:rsid w:val="00CF636E"/>
    <w:rsid w:val="00D0225A"/>
    <w:rsid w:val="00D03B1F"/>
    <w:rsid w:val="00D04041"/>
    <w:rsid w:val="00D07637"/>
    <w:rsid w:val="00D11C52"/>
    <w:rsid w:val="00D301BC"/>
    <w:rsid w:val="00D42254"/>
    <w:rsid w:val="00D45966"/>
    <w:rsid w:val="00D637A2"/>
    <w:rsid w:val="00D64101"/>
    <w:rsid w:val="00D64E32"/>
    <w:rsid w:val="00D70A62"/>
    <w:rsid w:val="00D721CA"/>
    <w:rsid w:val="00D80731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1C67"/>
    <w:rsid w:val="00DF2D4A"/>
    <w:rsid w:val="00DF2EC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5C6A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41A0"/>
    <w:rsid w:val="00EF7451"/>
    <w:rsid w:val="00F02A62"/>
    <w:rsid w:val="00F118A5"/>
    <w:rsid w:val="00F148A3"/>
    <w:rsid w:val="00F22C5E"/>
    <w:rsid w:val="00F319D5"/>
    <w:rsid w:val="00F359AF"/>
    <w:rsid w:val="00F42347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01BE-2220-4C09-A639-0D40CEA0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15</cp:revision>
  <cp:lastPrinted>2025-06-26T09:24:00Z</cp:lastPrinted>
  <dcterms:created xsi:type="dcterms:W3CDTF">2025-07-23T13:05:00Z</dcterms:created>
  <dcterms:modified xsi:type="dcterms:W3CDTF">2025-08-04T11:37:00Z</dcterms:modified>
</cp:coreProperties>
</file>