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B24" w:rsidRDefault="003D7B24" w:rsidP="003D7B24">
      <w:pPr>
        <w:pStyle w:val="a4"/>
        <w:spacing w:line="240" w:lineRule="atLea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муниципальной программы </w:t>
      </w:r>
    </w:p>
    <w:p w:rsidR="003D7B24" w:rsidRDefault="003D7B24" w:rsidP="003D7B24">
      <w:pPr>
        <w:pStyle w:val="a4"/>
        <w:spacing w:line="240" w:lineRule="atLea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Лахденпохского  муниципального района</w:t>
      </w:r>
    </w:p>
    <w:p w:rsidR="003D7B24" w:rsidRDefault="003D7B24" w:rsidP="003D7B24">
      <w:pPr>
        <w:pStyle w:val="a4"/>
        <w:spacing w:line="240" w:lineRule="atLea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«Физкультура и спорт в Лахденпохском муниципальном районе» </w:t>
      </w:r>
    </w:p>
    <w:p w:rsidR="003D7B24" w:rsidRDefault="003D7B24" w:rsidP="003D7B24">
      <w:pPr>
        <w:pStyle w:val="a4"/>
        <w:spacing w:line="240" w:lineRule="atLeast"/>
        <w:ind w:left="0"/>
        <w:jc w:val="both"/>
        <w:rPr>
          <w:sz w:val="28"/>
          <w:szCs w:val="28"/>
        </w:rPr>
      </w:pPr>
    </w:p>
    <w:tbl>
      <w:tblPr>
        <w:tblW w:w="96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0" w:type="dxa"/>
          <w:right w:w="75" w:type="dxa"/>
        </w:tblCellMar>
        <w:tblLook w:val="0000" w:firstRow="0" w:lastRow="0" w:firstColumn="0" w:lastColumn="0" w:noHBand="0" w:noVBand="0"/>
      </w:tblPr>
      <w:tblGrid>
        <w:gridCol w:w="3121"/>
        <w:gridCol w:w="6524"/>
      </w:tblGrid>
      <w:tr w:rsidR="003D7B24" w:rsidTr="00DD72B6">
        <w:trPr>
          <w:trHeight w:val="728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Default="003D7B24" w:rsidP="00DD72B6">
            <w:pPr>
              <w:spacing w:after="2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        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Default="003D7B24" w:rsidP="00F7621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«Физкультура и спорт в Лахденпохском муниципальном районе» (далее – Программа).</w:t>
            </w:r>
          </w:p>
        </w:tc>
      </w:tr>
      <w:tr w:rsidR="003D7B24" w:rsidTr="00DD72B6"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Default="003D7B24" w:rsidP="00DD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Pr="007039A8" w:rsidRDefault="003D7B24" w:rsidP="00DD72B6">
            <w:pPr>
              <w:tabs>
                <w:tab w:val="left" w:pos="565"/>
              </w:tabs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039A8">
              <w:rPr>
                <w:rFonts w:ascii="Times New Roman" w:eastAsia="Cambria" w:hAnsi="Times New Roman" w:cs="Times New Roman"/>
                <w:sz w:val="24"/>
                <w:szCs w:val="24"/>
              </w:rPr>
              <w:t>-     Федеральный закон от 06.10.2003 г. № 131-ФЗ "Об общих принципах организации местного самоуправления в Российской Федерации";</w:t>
            </w:r>
          </w:p>
          <w:p w:rsidR="003D7B24" w:rsidRPr="007039A8" w:rsidRDefault="003D7B24" w:rsidP="00DD72B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039A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 </w:t>
            </w:r>
            <w:r w:rsidRPr="00314848">
              <w:rPr>
                <w:rFonts w:ascii="Times New Roman" w:hAnsi="Times New Roman" w:cs="Times New Roman"/>
                <w:color w:val="auto"/>
                <w:spacing w:val="5"/>
                <w:sz w:val="24"/>
                <w:szCs w:val="24"/>
              </w:rPr>
              <w:t>Стратегия развития физической культуры и спорта в Российской Федерации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на период до 203</w:t>
            </w:r>
            <w:r w:rsidRPr="007039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0, утверждена распоряжением правительства Ро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ссийской Федерации от 24 ноября 2020</w:t>
            </w:r>
            <w:r w:rsidRPr="007039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3081</w:t>
            </w:r>
            <w:r w:rsidRPr="007039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-р;</w:t>
            </w:r>
          </w:p>
          <w:p w:rsidR="003D7B24" w:rsidRPr="007039A8" w:rsidRDefault="003D7B24" w:rsidP="00DD72B6">
            <w:pPr>
              <w:tabs>
                <w:tab w:val="left" w:pos="281"/>
                <w:tab w:val="left" w:pos="5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7039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-   Федеральный закон от 04.12.2007 г. №  329-ФЗ «О физической культуре и спорте в Российской Федерации»;</w:t>
            </w:r>
          </w:p>
          <w:p w:rsidR="003D7B24" w:rsidRDefault="003D7B24" w:rsidP="00DD72B6">
            <w:pPr>
              <w:tabs>
                <w:tab w:val="left" w:pos="281"/>
                <w:tab w:val="left" w:pos="5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7039A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- Указ Президента Российской Федерации от 09 мая 2017г. № 203 «Стратегия развития информационного общества в Российской Федерации на 2017-2030 годы»;</w:t>
            </w:r>
          </w:p>
          <w:p w:rsidR="003D7B24" w:rsidRDefault="003D7B24" w:rsidP="00DD72B6">
            <w:pPr>
              <w:pStyle w:val="1"/>
              <w:spacing w:before="0" w:line="240" w:lineRule="auto"/>
              <w:jc w:val="both"/>
              <w:textAlignment w:val="baseline"/>
              <w:rPr>
                <w:rFonts w:ascii="Arial" w:hAnsi="Arial" w:cs="Arial"/>
                <w:color w:val="005EA5"/>
                <w:sz w:val="38"/>
                <w:szCs w:val="38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Pr="00E64D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Распоряжение </w:t>
            </w:r>
            <w:proofErr w:type="spellStart"/>
            <w:r w:rsidRPr="00E64D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Минпросвещения</w:t>
            </w:r>
            <w:proofErr w:type="spellEnd"/>
            <w:r w:rsidRPr="00E64D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России от 05.12.2019 N Р-124 (ред. от 21.01.2021) "Об утверждении Методических рекомендаций по созданию в общеобразовательных организациях, расположенных в сельской местности и малых</w:t>
            </w:r>
            <w:r>
              <w:rPr>
                <w:rFonts w:ascii="Arial" w:hAnsi="Arial" w:cs="Arial"/>
                <w:color w:val="005EA5"/>
                <w:sz w:val="38"/>
                <w:szCs w:val="38"/>
              </w:rPr>
              <w:t xml:space="preserve"> </w:t>
            </w:r>
            <w:r w:rsidRPr="00E64D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городах, условий для занятия физической культурой и спортом в рамках региональных проектов, обеспечивающих достижение целей, показателей и результата федерального проекта "Успех каждого ребенка" национального проекта "Образование"</w:t>
            </w:r>
            <w:proofErr w:type="gramEnd"/>
          </w:p>
          <w:p w:rsidR="003D7B24" w:rsidRDefault="003D7B24" w:rsidP="00DD72B6">
            <w:pPr>
              <w:tabs>
                <w:tab w:val="left" w:pos="281"/>
              </w:tabs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039A8">
              <w:rPr>
                <w:rFonts w:ascii="Times New Roman" w:eastAsia="Cambria" w:hAnsi="Times New Roman" w:cs="Times New Roman"/>
                <w:sz w:val="24"/>
                <w:szCs w:val="24"/>
              </w:rPr>
              <w:t>- Постановление Администрации Лахденпохского муниципального района от 30.07.2014 г. № 1441 «О порядке разработки, реализации и оценке эффективности муниципальных программ Лахденпохского муниципального района».</w:t>
            </w:r>
          </w:p>
        </w:tc>
      </w:tr>
      <w:tr w:rsidR="003D7B24" w:rsidTr="00DD72B6">
        <w:trPr>
          <w:trHeight w:val="395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Default="003D7B24" w:rsidP="00DD72B6">
            <w:pPr>
              <w:spacing w:after="2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и разработчик Программы          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Pr="00930968" w:rsidRDefault="003D7B24" w:rsidP="00DD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968">
              <w:rPr>
                <w:rFonts w:ascii="Times New Roman" w:hAnsi="Times New Roman" w:cs="Times New Roman"/>
                <w:sz w:val="24"/>
                <w:szCs w:val="24"/>
              </w:rPr>
              <w:t>МУ «</w:t>
            </w:r>
            <w:proofErr w:type="gramStart"/>
            <w:r w:rsidRPr="00930968">
              <w:rPr>
                <w:rFonts w:ascii="Times New Roman" w:hAnsi="Times New Roman" w:cs="Times New Roman"/>
                <w:sz w:val="24"/>
                <w:szCs w:val="24"/>
              </w:rPr>
              <w:t>Районное</w:t>
            </w:r>
            <w:proofErr w:type="gramEnd"/>
            <w:r w:rsidRPr="00930968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образования и по делам молодёжи» (далее — МУ «РУО и ДМ»)</w:t>
            </w:r>
          </w:p>
        </w:tc>
      </w:tr>
      <w:tr w:rsidR="003D7B24" w:rsidTr="00DD72B6">
        <w:trPr>
          <w:trHeight w:val="509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Default="003D7B24" w:rsidP="00DD72B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Default="003D7B24" w:rsidP="00DD72B6">
            <w:pPr>
              <w:pStyle w:val="a4"/>
              <w:spacing w:line="240" w:lineRule="atLeast"/>
              <w:ind w:left="0"/>
              <w:jc w:val="both"/>
            </w:pPr>
            <w:r>
              <w:t>МБУ ДО «</w:t>
            </w:r>
            <w:proofErr w:type="spellStart"/>
            <w:r>
              <w:t>Лахденпохская</w:t>
            </w:r>
            <w:proofErr w:type="spellEnd"/>
            <w:r>
              <w:t xml:space="preserve"> районная детско – юношеская спортивная школа» (далее - ДЮСШ)</w:t>
            </w:r>
          </w:p>
          <w:p w:rsidR="003D7B24" w:rsidRDefault="003D7B24" w:rsidP="00DD72B6">
            <w:pPr>
              <w:pStyle w:val="a4"/>
              <w:spacing w:line="240" w:lineRule="atLeast"/>
              <w:ind w:left="0"/>
              <w:jc w:val="both"/>
            </w:pPr>
            <w:r>
              <w:t>Общественные организации в области спорта, осуществляющие свою деятельность на территории Лахденпохского района (далее — НКО)</w:t>
            </w:r>
          </w:p>
          <w:p w:rsidR="003D7B24" w:rsidRDefault="003D7B24" w:rsidP="00DD72B6">
            <w:pPr>
              <w:pStyle w:val="a4"/>
              <w:spacing w:line="240" w:lineRule="atLeast"/>
              <w:ind w:left="0"/>
              <w:jc w:val="both"/>
            </w:pPr>
            <w:r>
              <w:t>Общеобразовательные организации Лахденпохского муниципального района (далее – ОО)</w:t>
            </w:r>
          </w:p>
        </w:tc>
      </w:tr>
      <w:tr w:rsidR="003D7B24" w:rsidTr="00DD72B6">
        <w:trPr>
          <w:trHeight w:val="51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Default="003D7B24" w:rsidP="00DD72B6">
            <w:pPr>
              <w:spacing w:after="2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Программы          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Pr="00195FC2" w:rsidRDefault="003D7B24" w:rsidP="00DD72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FC2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жителям Лахденпохского района возможность систематически заниматься физической культурой и спортом</w:t>
            </w:r>
          </w:p>
        </w:tc>
      </w:tr>
      <w:tr w:rsidR="003D7B24" w:rsidTr="00DD72B6">
        <w:trPr>
          <w:trHeight w:val="558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Default="003D7B24" w:rsidP="00DD7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Pr="006A129B" w:rsidRDefault="003D7B24" w:rsidP="00DD72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9B">
              <w:rPr>
                <w:rFonts w:ascii="Times New Roman" w:hAnsi="Times New Roman" w:cs="Times New Roman"/>
                <w:sz w:val="24"/>
                <w:szCs w:val="24"/>
              </w:rPr>
              <w:t>1) Повышение мотивации жителей Лахденпохского района к регулярным занятиям физической культурой и спортом и ведению здорового образа жизни.</w:t>
            </w:r>
          </w:p>
          <w:p w:rsidR="003D7B24" w:rsidRPr="006A129B" w:rsidRDefault="003D7B24" w:rsidP="00DD72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9B">
              <w:rPr>
                <w:rFonts w:ascii="Times New Roman" w:hAnsi="Times New Roman" w:cs="Times New Roman"/>
                <w:sz w:val="24"/>
                <w:szCs w:val="24"/>
              </w:rPr>
              <w:t xml:space="preserve">2) Обеспечение условий для успешного выступления спортсменов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выездных </w:t>
            </w:r>
            <w:r w:rsidRPr="006A129B">
              <w:rPr>
                <w:rFonts w:ascii="Times New Roman" w:hAnsi="Times New Roman" w:cs="Times New Roman"/>
                <w:sz w:val="24"/>
                <w:szCs w:val="24"/>
              </w:rPr>
              <w:t>соревнованиях различного уровня.</w:t>
            </w:r>
          </w:p>
          <w:p w:rsidR="003D7B24" w:rsidRPr="006A129B" w:rsidRDefault="003D7B24" w:rsidP="00DD72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9B">
              <w:rPr>
                <w:rFonts w:ascii="Times New Roman" w:hAnsi="Times New Roman" w:cs="Times New Roman"/>
                <w:sz w:val="24"/>
                <w:szCs w:val="24"/>
              </w:rPr>
              <w:t xml:space="preserve">3) Развитие инфраструктуры физической культуры и спорта, </w:t>
            </w:r>
            <w:r w:rsidRPr="006A1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для лиц с ограниченными возможностями здоровья и инвалидов, на территории Республики Карелия;</w:t>
            </w:r>
          </w:p>
          <w:p w:rsidR="003D7B24" w:rsidRPr="006A129B" w:rsidRDefault="003D7B24" w:rsidP="00DD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29B">
              <w:rPr>
                <w:rFonts w:ascii="Times New Roman" w:hAnsi="Times New Roman" w:cs="Times New Roman"/>
                <w:sz w:val="24"/>
                <w:szCs w:val="24"/>
              </w:rPr>
              <w:t>4) Реализация регионального проекта "Спорт - норма жизни" (в части развития физической культуры)</w:t>
            </w:r>
          </w:p>
        </w:tc>
      </w:tr>
      <w:tr w:rsidR="003D7B24" w:rsidTr="00DD72B6">
        <w:trPr>
          <w:trHeight w:val="434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Default="003D7B24" w:rsidP="00DD72B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Default="003D7B24" w:rsidP="00DD72B6">
            <w:pPr>
              <w:spacing w:after="0" w:line="240" w:lineRule="auto"/>
              <w:jc w:val="center"/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2022 – 2026 годы</w:t>
            </w:r>
          </w:p>
        </w:tc>
      </w:tr>
      <w:tr w:rsidR="003D7B24" w:rsidTr="00DD72B6">
        <w:trPr>
          <w:trHeight w:val="675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Default="003D7B24" w:rsidP="00DD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Программы с указанием источников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Pr="00A2058B" w:rsidRDefault="003D7B24" w:rsidP="00DD72B6">
            <w:pPr>
              <w:tabs>
                <w:tab w:val="left" w:pos="902"/>
              </w:tabs>
              <w:spacing w:after="0" w:line="240" w:lineRule="auto"/>
              <w:ind w:right="1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r w:rsidRPr="008000A4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  <w:r w:rsidRPr="008000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</w:t>
            </w:r>
            <w:r w:rsidR="008000A4" w:rsidRPr="008000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30 168,288 </w:t>
            </w:r>
            <w:r w:rsidRPr="008000A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bookmarkStart w:id="0" w:name="_GoBack"/>
            <w:bookmarkEnd w:id="0"/>
            <w:r w:rsidRPr="00A2058B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числе: </w:t>
            </w:r>
          </w:p>
          <w:p w:rsidR="003D7B24" w:rsidRPr="00A2058B" w:rsidRDefault="003D7B24" w:rsidP="00DD72B6">
            <w:pPr>
              <w:spacing w:after="0" w:line="240" w:lineRule="auto"/>
            </w:pPr>
            <w:r w:rsidRPr="00A2058B">
              <w:rPr>
                <w:rFonts w:ascii="Times New Roman" w:hAnsi="Times New Roman" w:cs="Times New Roman"/>
                <w:sz w:val="24"/>
                <w:szCs w:val="24"/>
              </w:rPr>
              <w:t xml:space="preserve">2022 г. – </w:t>
            </w:r>
            <w:r w:rsidR="00095799" w:rsidRPr="00A205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00A4">
              <w:rPr>
                <w:rFonts w:ascii="Times New Roman" w:hAnsi="Times New Roman" w:cs="Times New Roman"/>
                <w:sz w:val="24"/>
                <w:szCs w:val="24"/>
              </w:rPr>
              <w:t>8 692,588</w:t>
            </w:r>
            <w:r w:rsidRPr="00A2058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3D7B24" w:rsidRPr="00A2058B" w:rsidRDefault="003D7B24" w:rsidP="00DD7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58B">
              <w:rPr>
                <w:rFonts w:ascii="Times New Roman" w:hAnsi="Times New Roman" w:cs="Times New Roman"/>
                <w:sz w:val="24"/>
                <w:szCs w:val="24"/>
              </w:rPr>
              <w:t xml:space="preserve">2023 г. –  </w:t>
            </w:r>
            <w:r w:rsidR="008000A4">
              <w:rPr>
                <w:rFonts w:ascii="Times New Roman" w:hAnsi="Times New Roman" w:cs="Times New Roman"/>
                <w:sz w:val="24"/>
                <w:szCs w:val="24"/>
              </w:rPr>
              <w:t xml:space="preserve">575,7 </w:t>
            </w:r>
            <w:r w:rsidRPr="00A2058B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3D7B24" w:rsidRPr="00A2058B" w:rsidRDefault="003D7B24" w:rsidP="00DD72B6">
            <w:pPr>
              <w:spacing w:after="0" w:line="240" w:lineRule="auto"/>
            </w:pPr>
            <w:r w:rsidRPr="00A2058B">
              <w:rPr>
                <w:rFonts w:ascii="Times New Roman" w:hAnsi="Times New Roman" w:cs="Times New Roman"/>
                <w:sz w:val="24"/>
                <w:szCs w:val="24"/>
              </w:rPr>
              <w:t xml:space="preserve">2024 г. –  </w:t>
            </w:r>
            <w:r w:rsidR="008000A4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  <w:r w:rsidRPr="00A2058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3D7B24" w:rsidRPr="00A2058B" w:rsidRDefault="003D7B24" w:rsidP="00DD7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58B">
              <w:rPr>
                <w:rFonts w:ascii="Times New Roman" w:hAnsi="Times New Roman" w:cs="Times New Roman"/>
                <w:sz w:val="24"/>
                <w:szCs w:val="24"/>
              </w:rPr>
              <w:t>2025 г. –</w:t>
            </w:r>
            <w:r w:rsidR="008000A4">
              <w:rPr>
                <w:rFonts w:ascii="Times New Roman" w:hAnsi="Times New Roman" w:cs="Times New Roman"/>
                <w:sz w:val="24"/>
                <w:szCs w:val="24"/>
              </w:rPr>
              <w:t xml:space="preserve">  280,0 </w:t>
            </w:r>
            <w:r w:rsidRPr="00A2058B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3D7B24" w:rsidRDefault="008000A4" w:rsidP="00800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г. -   </w:t>
            </w:r>
            <w:r w:rsidR="004A77A7" w:rsidRPr="00A205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  <w:r w:rsidR="003D7B24" w:rsidRPr="00A2058B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A2058B" w:rsidRPr="00A20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7B24" w:rsidRPr="00A2058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3D7B24" w:rsidTr="00DD72B6">
        <w:trPr>
          <w:trHeight w:val="5484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Pr="0071570B" w:rsidRDefault="003D7B24" w:rsidP="00DD72B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70B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tbl>
            <w:tblPr>
              <w:tblW w:w="6377" w:type="dxa"/>
              <w:tblBorders>
                <w:top w:val="single" w:sz="4" w:space="0" w:color="000001"/>
                <w:bottom w:val="single" w:sz="4" w:space="0" w:color="000001"/>
                <w:insideH w:val="single" w:sz="4" w:space="0" w:color="000001"/>
              </w:tblBorders>
              <w:tblCellMar>
                <w:top w:w="55" w:type="dxa"/>
                <w:bottom w:w="55" w:type="dxa"/>
              </w:tblCellMar>
              <w:tblLook w:val="0000" w:firstRow="0" w:lastRow="0" w:firstColumn="0" w:lastColumn="0" w:noHBand="0" w:noVBand="0"/>
            </w:tblPr>
            <w:tblGrid>
              <w:gridCol w:w="6377"/>
            </w:tblGrid>
            <w:tr w:rsidR="003D7B24" w:rsidTr="00DD72B6">
              <w:trPr>
                <w:trHeight w:val="5058"/>
              </w:trPr>
              <w:tc>
                <w:tcPr>
                  <w:tcW w:w="6377" w:type="dxa"/>
                  <w:tcBorders>
                    <w:top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3D7B24" w:rsidRDefault="003D7B24" w:rsidP="00DD72B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r w:rsidRPr="00E563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Доля населения Лахденпохского района, систематически занимающегося физической культурой и спортом, в общей численности населения района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(%)</w:t>
                  </w:r>
                  <w:r w:rsidRPr="00E563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3D7B24" w:rsidRDefault="003D7B24" w:rsidP="00DD72B6">
                  <w:pPr>
                    <w:tabs>
                      <w:tab w:val="left" w:pos="315"/>
                      <w:tab w:val="left" w:pos="457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Количество детей и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подростков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систематически занимающихся в МБУ ДО «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Лахденпохская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районная детско – юношеская спортивная школа» (человек);</w:t>
                  </w:r>
                </w:p>
                <w:p w:rsidR="003D7B24" w:rsidRDefault="003D7B24" w:rsidP="00DD72B6">
                  <w:pPr>
                    <w:tabs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  </w:t>
                  </w:r>
                  <w:r w:rsidRPr="00E5630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Количество школьных спортивных клубов</w:t>
                  </w:r>
                  <w:r w:rsidRPr="00E563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ед.</w:t>
                  </w:r>
                  <w:r w:rsidRPr="00E563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);</w:t>
                  </w:r>
                </w:p>
                <w:p w:rsidR="003D7B24" w:rsidRPr="00E5630B" w:rsidRDefault="003D7B24" w:rsidP="00DD72B6">
                  <w:pPr>
                    <w:tabs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  <w:r w:rsidRPr="00E5630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Количество мероприятий муниципального уровня,  направленных на популяризацию </w:t>
                  </w:r>
                  <w:proofErr w:type="spellStart"/>
                  <w:r w:rsidRPr="00E5630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физ</w:t>
                  </w:r>
                  <w:proofErr w:type="gramStart"/>
                  <w:r w:rsidRPr="00E5630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.к</w:t>
                  </w:r>
                  <w:proofErr w:type="gramEnd"/>
                  <w:r w:rsidRPr="00E5630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ультуры</w:t>
                  </w:r>
                  <w:proofErr w:type="spellEnd"/>
                  <w:r w:rsidRPr="00E5630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 спорта, пропаганду ЗОЖ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(ед.);</w:t>
                  </w:r>
                </w:p>
                <w:p w:rsidR="003D7B24" w:rsidRPr="00E5630B" w:rsidRDefault="003D7B24" w:rsidP="00DD72B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5. </w:t>
                  </w:r>
                  <w:r w:rsidRPr="00E563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E5630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оличество участников муниципальных </w:t>
                  </w:r>
                  <w:r w:rsidRPr="00E5630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мероприятий, направленных на популяризацию </w:t>
                  </w:r>
                  <w:proofErr w:type="spellStart"/>
                  <w:r w:rsidRPr="00E5630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физ</w:t>
                  </w:r>
                  <w:proofErr w:type="gramStart"/>
                  <w:r w:rsidRPr="00E5630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.к</w:t>
                  </w:r>
                  <w:proofErr w:type="gramEnd"/>
                  <w:r w:rsidRPr="00E5630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ультуры</w:t>
                  </w:r>
                  <w:proofErr w:type="spellEnd"/>
                  <w:r w:rsidRPr="00E5630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 спорта, пропаганду ЗОЖ</w:t>
                  </w:r>
                  <w:r w:rsidRPr="00E563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(человек);</w:t>
                  </w:r>
                </w:p>
                <w:p w:rsidR="003D7B24" w:rsidRDefault="003D7B24" w:rsidP="00DD72B6">
                  <w:pPr>
                    <w:tabs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6.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</w:t>
                  </w:r>
                  <w:r w:rsidRPr="00E5630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оличество победителей и призеров выездных соревнований различного уровня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(человек)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3D7B24" w:rsidRDefault="003D7B24" w:rsidP="00DD72B6">
                  <w:pPr>
                    <w:tabs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7. </w:t>
                  </w:r>
                  <w:r w:rsidRPr="00E563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Доля лиц с ограниченными возможностями здоровья и инвалидов в районе, систематически занимающихся физической культурой и спортом, в общей численности указанной категории населения, не имеющих противопоказаний для занятий физической культурой и спортом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(%);</w:t>
                  </w:r>
                </w:p>
                <w:p w:rsidR="003D7B24" w:rsidRDefault="003D7B24" w:rsidP="00DD72B6">
                  <w:pPr>
                    <w:tabs>
                      <w:tab w:val="left" w:pos="315"/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8. </w:t>
                  </w:r>
                  <w:r w:rsidRPr="00E563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обеспеченности граждан спортивными сооружениями, исходя из единовременной пропускной способности объектов спорта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(%);</w:t>
                  </w:r>
                </w:p>
                <w:p w:rsidR="003D7B24" w:rsidRPr="00E5630B" w:rsidRDefault="003D7B24" w:rsidP="00DD72B6">
                  <w:pPr>
                    <w:tabs>
                      <w:tab w:val="left" w:pos="315"/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9. </w:t>
                  </w:r>
                  <w:r w:rsidRPr="00E563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ремонтных работ на объектах инфраструктуры физической культуры и спорта (кол-во объектов);</w:t>
                  </w:r>
                </w:p>
                <w:p w:rsidR="003D7B24" w:rsidRPr="00CC406F" w:rsidRDefault="003D7B24" w:rsidP="00DD72B6">
                  <w:pPr>
                    <w:tabs>
                      <w:tab w:val="left" w:pos="423"/>
                    </w:tabs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10. </w:t>
                  </w:r>
                  <w:r w:rsidRPr="00CC40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Доля детей и молодежи, систематически занимающихся физической культурой и спортом, в общей численности детей и молодежи (%)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3D7B24" w:rsidRDefault="003D7B24" w:rsidP="00DD72B6">
                  <w:pPr>
                    <w:tabs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11. </w:t>
                  </w:r>
                  <w:r w:rsidRPr="00CC40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Доля граждан среднего возраста, систематически занимающихся физической культурой и спортом, в общей численности граждан среднего возраста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(%)</w:t>
                  </w:r>
                  <w:r w:rsidRPr="00CC40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3D7B24" w:rsidRDefault="003D7B24" w:rsidP="00DD72B6">
                  <w:pPr>
                    <w:tabs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12. </w:t>
                  </w:r>
                  <w:r w:rsidRPr="00CC40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Доля граждан старшего возраста, систематически занимающихся физической культурой и спортом, в общей численности граждан старшего возраста</w:t>
                  </w:r>
                  <w:proofErr w:type="gramStart"/>
                  <w:r w:rsidRPr="00CC40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(%).</w:t>
                  </w:r>
                  <w:proofErr w:type="gramEnd"/>
                </w:p>
              </w:tc>
            </w:tr>
          </w:tbl>
          <w:p w:rsidR="003D7B24" w:rsidRDefault="003D7B24" w:rsidP="00DD72B6">
            <w:pPr>
              <w:tabs>
                <w:tab w:val="left" w:pos="281"/>
              </w:tabs>
              <w:spacing w:after="0" w:line="240" w:lineRule="auto"/>
              <w:jc w:val="both"/>
              <w:rPr>
                <w:rFonts w:ascii="Times New Roman" w:eastAsia="Courier New CYR" w:hAnsi="Times New Roman" w:cs="Times New Roman"/>
                <w:sz w:val="24"/>
                <w:szCs w:val="24"/>
              </w:rPr>
            </w:pPr>
          </w:p>
        </w:tc>
      </w:tr>
      <w:tr w:rsidR="003D7B24" w:rsidTr="00DD72B6">
        <w:trPr>
          <w:trHeight w:val="4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Default="003D7B24" w:rsidP="00DD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контроля над ходом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D7B24" w:rsidRDefault="003D7B24" w:rsidP="00DD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31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 «Районное управление образования и по делам молодёжи»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обеспечивает координацию и мониторинг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выполнению Программы, вносит в установленном порядке предложения по изменению мероприятий Программы, суммы субсидии, с учетом складывающейся социально-экономической ситуации и предоставляет информацию по выполнению программы в первом квартале  2022, 2023, 2020, 2021, 2022 годов, размещает на официальном сайте администрации   информацию о муниципальной программе, ходе её реализации, достижении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показателей (индикаторов) муниципальной программы, степени выполнения мероприятий муниципальной программы.</w:t>
            </w:r>
          </w:p>
        </w:tc>
      </w:tr>
    </w:tbl>
    <w:p w:rsidR="003D7B24" w:rsidRDefault="003D7B24" w:rsidP="003D7B24">
      <w:pPr>
        <w:widowControl w:val="0"/>
        <w:spacing w:after="0" w:line="240" w:lineRule="auto"/>
        <w:outlineLvl w:val="1"/>
        <w:rPr>
          <w:rFonts w:ascii="Times New Roman" w:hAnsi="Times New Roman" w:cs="Calibri"/>
          <w:sz w:val="24"/>
          <w:szCs w:val="24"/>
          <w:lang w:eastAsia="en-US"/>
        </w:rPr>
      </w:pPr>
    </w:p>
    <w:p w:rsidR="00D72ABD" w:rsidRDefault="00D72ABD"/>
    <w:sectPr w:rsidR="00D72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24"/>
    <w:rsid w:val="00095799"/>
    <w:rsid w:val="003D7B24"/>
    <w:rsid w:val="004A77A7"/>
    <w:rsid w:val="00547F3B"/>
    <w:rsid w:val="008000A4"/>
    <w:rsid w:val="00A2058B"/>
    <w:rsid w:val="00C6175C"/>
    <w:rsid w:val="00D72ABD"/>
    <w:rsid w:val="00F7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B24"/>
    <w:pPr>
      <w:overflowPunct w:val="0"/>
    </w:pPr>
    <w:rPr>
      <w:rFonts w:ascii="Calibri" w:eastAsia="Segoe UI" w:hAnsi="Calibri" w:cs="Tahoma"/>
      <w:color w:val="00000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B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B2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3">
    <w:name w:val="Strong"/>
    <w:basedOn w:val="a0"/>
    <w:qFormat/>
    <w:rsid w:val="003D7B24"/>
    <w:rPr>
      <w:b/>
      <w:bCs/>
    </w:rPr>
  </w:style>
  <w:style w:type="paragraph" w:styleId="a4">
    <w:name w:val="Body Text Indent"/>
    <w:basedOn w:val="a"/>
    <w:link w:val="a5"/>
    <w:rsid w:val="003D7B24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3D7B24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onsPlusNormal">
    <w:name w:val="ConsPlusNormal"/>
    <w:qFormat/>
    <w:rsid w:val="003D7B24"/>
    <w:pPr>
      <w:widowControl w:val="0"/>
      <w:overflowPunct w:val="0"/>
      <w:spacing w:after="0" w:line="240" w:lineRule="auto"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B24"/>
    <w:pPr>
      <w:overflowPunct w:val="0"/>
    </w:pPr>
    <w:rPr>
      <w:rFonts w:ascii="Calibri" w:eastAsia="Segoe UI" w:hAnsi="Calibri" w:cs="Tahoma"/>
      <w:color w:val="00000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B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B2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3">
    <w:name w:val="Strong"/>
    <w:basedOn w:val="a0"/>
    <w:qFormat/>
    <w:rsid w:val="003D7B24"/>
    <w:rPr>
      <w:b/>
      <w:bCs/>
    </w:rPr>
  </w:style>
  <w:style w:type="paragraph" w:styleId="a4">
    <w:name w:val="Body Text Indent"/>
    <w:basedOn w:val="a"/>
    <w:link w:val="a5"/>
    <w:rsid w:val="003D7B24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3D7B24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onsPlusNormal">
    <w:name w:val="ConsPlusNormal"/>
    <w:qFormat/>
    <w:rsid w:val="003D7B24"/>
    <w:pPr>
      <w:widowControl w:val="0"/>
      <w:overflowPunct w:val="0"/>
      <w:spacing w:after="0" w:line="240" w:lineRule="auto"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2021-10-27T17:28:00Z</dcterms:created>
  <dcterms:modified xsi:type="dcterms:W3CDTF">2022-10-31T07:10:00Z</dcterms:modified>
</cp:coreProperties>
</file>