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F0D" w:rsidRDefault="00DD5F0D" w:rsidP="00DD5F0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</w:t>
      </w:r>
    </w:p>
    <w:p w:rsidR="00DD5F0D" w:rsidRDefault="00DD5F0D" w:rsidP="00DD5F0D">
      <w:pPr>
        <w:spacing w:after="0" w:line="240" w:lineRule="auto"/>
        <w:ind w:right="283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Паспорт муниципальной  программы</w:t>
      </w:r>
    </w:p>
    <w:p w:rsidR="00DD5F0D" w:rsidRDefault="00DD5F0D" w:rsidP="00DD5F0D">
      <w:pPr>
        <w:spacing w:after="0" w:line="240" w:lineRule="auto"/>
        <w:ind w:right="283" w:firstLine="540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«Развитие образования </w:t>
      </w:r>
      <w:r w:rsidR="00D058B0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в Лахденпохском  муниципальном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районе»</w:t>
      </w:r>
    </w:p>
    <w:p w:rsidR="00DD5F0D" w:rsidRDefault="00DD5F0D" w:rsidP="00DD5F0D">
      <w:pPr>
        <w:spacing w:after="0" w:line="240" w:lineRule="auto"/>
        <w:ind w:right="283" w:firstLine="540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(далее – муниципальная программа)</w:t>
      </w:r>
    </w:p>
    <w:tbl>
      <w:tblPr>
        <w:tblW w:w="10638" w:type="dxa"/>
        <w:tblInd w:w="78" w:type="dxa"/>
        <w:tblLayout w:type="fixed"/>
        <w:tblCellMar>
          <w:left w:w="78" w:type="dxa"/>
        </w:tblCellMar>
        <w:tblLook w:val="0000" w:firstRow="0" w:lastRow="0" w:firstColumn="0" w:lastColumn="0" w:noHBand="0" w:noVBand="0"/>
      </w:tblPr>
      <w:tblGrid>
        <w:gridCol w:w="3369"/>
        <w:gridCol w:w="7269"/>
      </w:tblGrid>
      <w:tr w:rsidR="00DD5F0D" w:rsidTr="0038695B">
        <w:tc>
          <w:tcPr>
            <w:tcW w:w="3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5F0D" w:rsidRPr="00947008" w:rsidRDefault="00DD5F0D" w:rsidP="0038695B">
            <w:pPr>
              <w:pStyle w:val="TableParagraph"/>
              <w:ind w:right="883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Ответственный   разработчик муниципальной программы</w:t>
            </w:r>
          </w:p>
        </w:tc>
        <w:tc>
          <w:tcPr>
            <w:tcW w:w="7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5F0D" w:rsidRPr="00302CFA" w:rsidRDefault="00DD5F0D" w:rsidP="0038695B">
            <w:pPr>
              <w:pStyle w:val="TableParagraph"/>
              <w:tabs>
                <w:tab w:val="left" w:pos="935"/>
                <w:tab w:val="left" w:pos="1804"/>
                <w:tab w:val="left" w:pos="2041"/>
                <w:tab w:val="left" w:pos="2893"/>
                <w:tab w:val="left" w:pos="3039"/>
                <w:tab w:val="left" w:pos="4200"/>
                <w:tab w:val="left" w:pos="4356"/>
              </w:tabs>
              <w:ind w:right="218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Администрации </w:t>
            </w:r>
            <w:r>
              <w:rPr>
                <w:spacing w:val="-1"/>
                <w:sz w:val="24"/>
                <w:szCs w:val="24"/>
                <w:lang w:val="ru-RU"/>
              </w:rPr>
              <w:t xml:space="preserve">Лахденпохского </w:t>
            </w:r>
            <w:r>
              <w:rPr>
                <w:sz w:val="24"/>
                <w:szCs w:val="24"/>
                <w:lang w:val="ru-RU"/>
              </w:rPr>
              <w:t xml:space="preserve">муниципального района (далее – АЛМР), </w:t>
            </w:r>
          </w:p>
        </w:tc>
      </w:tr>
      <w:tr w:rsidR="00DD5F0D" w:rsidTr="0038695B">
        <w:tc>
          <w:tcPr>
            <w:tcW w:w="3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5F0D" w:rsidRPr="002F2541" w:rsidRDefault="00DD5F0D" w:rsidP="0038695B">
            <w:pPr>
              <w:pStyle w:val="TableParagraph"/>
              <w:ind w:right="899"/>
              <w:jc w:val="both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Соисполнитель муниципальной программы</w:t>
            </w:r>
          </w:p>
        </w:tc>
        <w:tc>
          <w:tcPr>
            <w:tcW w:w="7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5F0D" w:rsidRDefault="00DD5F0D" w:rsidP="0038695B">
            <w:pPr>
              <w:pStyle w:val="TableParagraph"/>
              <w:tabs>
                <w:tab w:val="left" w:pos="1681"/>
                <w:tab w:val="left" w:pos="3111"/>
                <w:tab w:val="left" w:pos="4198"/>
              </w:tabs>
              <w:ind w:right="218"/>
              <w:jc w:val="both"/>
              <w:rPr>
                <w:spacing w:val="-1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Муниципальное учреждение</w:t>
            </w:r>
            <w:r>
              <w:rPr>
                <w:spacing w:val="-1"/>
                <w:sz w:val="24"/>
                <w:szCs w:val="24"/>
                <w:lang w:val="ru-RU"/>
              </w:rPr>
              <w:t xml:space="preserve"> «Районное управление образования и по делам молодежи» (далее – МУ «РУО и ДМ»).</w:t>
            </w:r>
          </w:p>
          <w:p w:rsidR="00DD5F0D" w:rsidRPr="00A50389" w:rsidRDefault="00DD5F0D" w:rsidP="0038695B">
            <w:pPr>
              <w:pStyle w:val="TableParagraph"/>
              <w:tabs>
                <w:tab w:val="left" w:pos="1681"/>
                <w:tab w:val="left" w:pos="3111"/>
                <w:tab w:val="left" w:pos="4198"/>
              </w:tabs>
              <w:ind w:right="218"/>
              <w:jc w:val="both"/>
              <w:rPr>
                <w:spacing w:val="-1"/>
                <w:sz w:val="24"/>
                <w:szCs w:val="24"/>
                <w:lang w:val="ru-RU"/>
              </w:rPr>
            </w:pPr>
          </w:p>
        </w:tc>
      </w:tr>
      <w:tr w:rsidR="00DD5F0D" w:rsidTr="0038695B">
        <w:tc>
          <w:tcPr>
            <w:tcW w:w="3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5F0D" w:rsidRDefault="00DD5F0D" w:rsidP="0038695B">
            <w:pPr>
              <w:pStyle w:val="TableParagraph"/>
              <w:ind w:right="899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Участники муниципальной программы</w:t>
            </w:r>
          </w:p>
        </w:tc>
        <w:tc>
          <w:tcPr>
            <w:tcW w:w="7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5F0D" w:rsidRDefault="00DD5F0D" w:rsidP="00DC35C6">
            <w:pPr>
              <w:pStyle w:val="TableParagraph"/>
              <w:tabs>
                <w:tab w:val="left" w:pos="1681"/>
                <w:tab w:val="left" w:pos="3111"/>
                <w:tab w:val="left" w:pos="4198"/>
              </w:tabs>
              <w:ind w:right="218"/>
              <w:jc w:val="both"/>
              <w:rPr>
                <w:spacing w:val="-1"/>
                <w:sz w:val="24"/>
                <w:szCs w:val="24"/>
                <w:lang w:val="ru-RU"/>
              </w:rPr>
            </w:pPr>
            <w:r>
              <w:rPr>
                <w:spacing w:val="-1"/>
                <w:sz w:val="24"/>
                <w:szCs w:val="24"/>
                <w:lang w:val="ru-RU"/>
              </w:rPr>
              <w:t xml:space="preserve">Образовательные организации Лахденпохского муниципального района: </w:t>
            </w:r>
            <w:proofErr w:type="gramStart"/>
            <w:r>
              <w:rPr>
                <w:spacing w:val="-1"/>
                <w:sz w:val="24"/>
                <w:szCs w:val="24"/>
                <w:lang w:val="ru-RU"/>
              </w:rPr>
              <w:t>МКОУ «</w:t>
            </w:r>
            <w:proofErr w:type="spellStart"/>
            <w:r>
              <w:rPr>
                <w:spacing w:val="-1"/>
                <w:sz w:val="24"/>
                <w:szCs w:val="24"/>
                <w:lang w:val="ru-RU"/>
              </w:rPr>
              <w:t>Мийнальская</w:t>
            </w:r>
            <w:proofErr w:type="spellEnd"/>
            <w:r>
              <w:rPr>
                <w:spacing w:val="-1"/>
                <w:sz w:val="24"/>
                <w:szCs w:val="24"/>
                <w:lang w:val="ru-RU"/>
              </w:rPr>
              <w:t xml:space="preserve"> основная общеобразовательная школа», МКОУ «</w:t>
            </w:r>
            <w:proofErr w:type="spellStart"/>
            <w:r>
              <w:rPr>
                <w:spacing w:val="-1"/>
                <w:sz w:val="24"/>
                <w:szCs w:val="24"/>
                <w:lang w:val="ru-RU"/>
              </w:rPr>
              <w:t>Таунанская</w:t>
            </w:r>
            <w:proofErr w:type="spellEnd"/>
            <w:r>
              <w:rPr>
                <w:spacing w:val="-1"/>
                <w:sz w:val="24"/>
                <w:szCs w:val="24"/>
                <w:lang w:val="ru-RU"/>
              </w:rPr>
              <w:t xml:space="preserve"> начальная общеобразовательная школа», МКОУ «</w:t>
            </w:r>
            <w:proofErr w:type="spellStart"/>
            <w:r>
              <w:rPr>
                <w:spacing w:val="-1"/>
                <w:sz w:val="24"/>
                <w:szCs w:val="24"/>
                <w:lang w:val="ru-RU"/>
              </w:rPr>
              <w:t>Лахденпохская</w:t>
            </w:r>
            <w:proofErr w:type="spellEnd"/>
            <w:r>
              <w:rPr>
                <w:spacing w:val="-1"/>
                <w:sz w:val="24"/>
                <w:szCs w:val="24"/>
                <w:lang w:val="ru-RU"/>
              </w:rPr>
              <w:t xml:space="preserve"> средняя общеобразовательная школа», МКОУ «</w:t>
            </w:r>
            <w:proofErr w:type="spellStart"/>
            <w:r>
              <w:rPr>
                <w:spacing w:val="-1"/>
                <w:sz w:val="24"/>
                <w:szCs w:val="24"/>
                <w:lang w:val="ru-RU"/>
              </w:rPr>
              <w:t>Ихальская</w:t>
            </w:r>
            <w:proofErr w:type="spellEnd"/>
            <w:r>
              <w:rPr>
                <w:spacing w:val="-1"/>
                <w:sz w:val="24"/>
                <w:szCs w:val="24"/>
                <w:lang w:val="ru-RU"/>
              </w:rPr>
              <w:t xml:space="preserve"> средняя общеобразовательная школа», МОУ «</w:t>
            </w:r>
            <w:proofErr w:type="spellStart"/>
            <w:r>
              <w:rPr>
                <w:spacing w:val="-1"/>
                <w:sz w:val="24"/>
                <w:szCs w:val="24"/>
                <w:lang w:val="ru-RU"/>
              </w:rPr>
              <w:t>Райваттальская</w:t>
            </w:r>
            <w:proofErr w:type="spellEnd"/>
            <w:r>
              <w:rPr>
                <w:spacing w:val="-1"/>
                <w:sz w:val="24"/>
                <w:szCs w:val="24"/>
                <w:lang w:val="ru-RU"/>
              </w:rPr>
              <w:t xml:space="preserve"> средняя общеобразовательная школа», МКОУ «</w:t>
            </w:r>
            <w:proofErr w:type="spellStart"/>
            <w:r>
              <w:rPr>
                <w:spacing w:val="-1"/>
                <w:sz w:val="24"/>
                <w:szCs w:val="24"/>
                <w:lang w:val="ru-RU"/>
              </w:rPr>
              <w:t>Элисенваарская</w:t>
            </w:r>
            <w:proofErr w:type="spellEnd"/>
            <w:r>
              <w:rPr>
                <w:spacing w:val="-1"/>
                <w:sz w:val="24"/>
                <w:szCs w:val="24"/>
                <w:lang w:val="ru-RU"/>
              </w:rPr>
              <w:t xml:space="preserve"> средняя общеобразовательная школа», МБОУ «</w:t>
            </w:r>
            <w:proofErr w:type="spellStart"/>
            <w:r>
              <w:rPr>
                <w:spacing w:val="-1"/>
                <w:sz w:val="24"/>
                <w:szCs w:val="24"/>
                <w:lang w:val="ru-RU"/>
              </w:rPr>
              <w:t>Куркиекская</w:t>
            </w:r>
            <w:proofErr w:type="spellEnd"/>
            <w:r>
              <w:rPr>
                <w:spacing w:val="-1"/>
                <w:sz w:val="24"/>
                <w:szCs w:val="24"/>
                <w:lang w:val="ru-RU"/>
              </w:rPr>
              <w:t xml:space="preserve"> средняя общеобразовательная школа», МБУ ДО «Детская школа искусств», МО ДО «</w:t>
            </w:r>
            <w:proofErr w:type="spellStart"/>
            <w:r>
              <w:rPr>
                <w:spacing w:val="-1"/>
                <w:sz w:val="24"/>
                <w:szCs w:val="24"/>
                <w:lang w:val="ru-RU"/>
              </w:rPr>
              <w:t>Лахденпохская</w:t>
            </w:r>
            <w:proofErr w:type="spellEnd"/>
            <w:r>
              <w:rPr>
                <w:spacing w:val="-1"/>
                <w:sz w:val="24"/>
                <w:szCs w:val="24"/>
                <w:lang w:val="ru-RU"/>
              </w:rPr>
              <w:t xml:space="preserve"> районная детско-юношеская спортивная школа», МБО ДО «Лахденпохский центр детского творчества», МКДОУ детский сад «Росток» п. </w:t>
            </w:r>
            <w:proofErr w:type="spellStart"/>
            <w:r>
              <w:rPr>
                <w:spacing w:val="-1"/>
                <w:sz w:val="24"/>
                <w:szCs w:val="24"/>
                <w:lang w:val="ru-RU"/>
              </w:rPr>
              <w:t>Эстерло</w:t>
            </w:r>
            <w:proofErr w:type="spellEnd"/>
            <w:r>
              <w:rPr>
                <w:spacing w:val="-1"/>
                <w:sz w:val="24"/>
                <w:szCs w:val="24"/>
                <w:lang w:val="ru-RU"/>
              </w:rPr>
              <w:t>, МКДОУ</w:t>
            </w:r>
            <w:proofErr w:type="gramEnd"/>
            <w:r>
              <w:rPr>
                <w:spacing w:val="-1"/>
                <w:sz w:val="24"/>
                <w:szCs w:val="24"/>
                <w:lang w:val="ru-RU"/>
              </w:rPr>
              <w:t xml:space="preserve"> детский сад комбинированного вида «Радуга» г. Лахденпохья, МКДОУ детский сад №3 «Солнышко» г. Лахденпохья.</w:t>
            </w:r>
          </w:p>
        </w:tc>
      </w:tr>
      <w:tr w:rsidR="00DD5F0D" w:rsidTr="0038695B">
        <w:tc>
          <w:tcPr>
            <w:tcW w:w="3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5F0D" w:rsidRDefault="00DD5F0D" w:rsidP="0038695B">
            <w:pPr>
              <w:pStyle w:val="TableParagraph"/>
              <w:ind w:right="899"/>
              <w:jc w:val="both"/>
            </w:pPr>
            <w:proofErr w:type="spellStart"/>
            <w:r>
              <w:rPr>
                <w:b/>
                <w:bCs/>
                <w:lang w:val="ru-RU"/>
              </w:rPr>
              <w:t>Подпрограм</w:t>
            </w:r>
            <w:r>
              <w:rPr>
                <w:b/>
                <w:bCs/>
              </w:rPr>
              <w:t>мы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муниципальной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программы</w:t>
            </w:r>
            <w:proofErr w:type="spellEnd"/>
          </w:p>
        </w:tc>
        <w:tc>
          <w:tcPr>
            <w:tcW w:w="7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5F0D" w:rsidRDefault="00DD5F0D" w:rsidP="0038695B">
            <w:pPr>
              <w:pStyle w:val="TableParagraph"/>
              <w:tabs>
                <w:tab w:val="left" w:pos="1386"/>
              </w:tabs>
              <w:spacing w:before="1" w:after="200"/>
              <w:ind w:right="159"/>
              <w:jc w:val="both"/>
            </w:pPr>
            <w:r>
              <w:rPr>
                <w:sz w:val="24"/>
                <w:szCs w:val="24"/>
                <w:lang w:val="ru-RU"/>
              </w:rPr>
              <w:t>отсутствуют</w:t>
            </w:r>
          </w:p>
        </w:tc>
      </w:tr>
      <w:tr w:rsidR="00DD5F0D" w:rsidTr="0038695B">
        <w:tc>
          <w:tcPr>
            <w:tcW w:w="3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5F0D" w:rsidRDefault="00DD5F0D" w:rsidP="0038695B">
            <w:pPr>
              <w:pStyle w:val="TableParagraph"/>
              <w:tabs>
                <w:tab w:val="left" w:pos="954"/>
              </w:tabs>
              <w:spacing w:before="1" w:after="200"/>
              <w:ind w:right="215"/>
            </w:pPr>
            <w:proofErr w:type="spellStart"/>
            <w:r>
              <w:rPr>
                <w:b/>
                <w:bCs/>
              </w:rPr>
              <w:t>Цель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spacing w:val="-1"/>
              </w:rPr>
              <w:t>муниципальной</w:t>
            </w:r>
            <w:proofErr w:type="spellEnd"/>
            <w:r>
              <w:rPr>
                <w:b/>
                <w:bCs/>
                <w:spacing w:val="-1"/>
              </w:rPr>
              <w:t xml:space="preserve"> </w:t>
            </w:r>
            <w:proofErr w:type="spellStart"/>
            <w:r>
              <w:rPr>
                <w:b/>
                <w:bCs/>
              </w:rPr>
              <w:t>программы</w:t>
            </w:r>
            <w:proofErr w:type="spellEnd"/>
          </w:p>
        </w:tc>
        <w:tc>
          <w:tcPr>
            <w:tcW w:w="7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5F0D" w:rsidRDefault="00DD5F0D" w:rsidP="0038695B">
            <w:pPr>
              <w:pStyle w:val="TableParagraph"/>
              <w:ind w:right="216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Повышение качества и доступности образования.</w:t>
            </w:r>
          </w:p>
          <w:p w:rsidR="00DD5F0D" w:rsidRPr="00302CFA" w:rsidRDefault="00DD5F0D" w:rsidP="0038695B">
            <w:pPr>
              <w:pStyle w:val="TableParagraph"/>
              <w:ind w:right="216"/>
              <w:jc w:val="both"/>
              <w:rPr>
                <w:lang w:val="ru-RU"/>
              </w:rPr>
            </w:pPr>
          </w:p>
        </w:tc>
      </w:tr>
      <w:tr w:rsidR="00DD5F0D" w:rsidTr="0038695B">
        <w:tc>
          <w:tcPr>
            <w:tcW w:w="3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5F0D" w:rsidRDefault="00DD5F0D" w:rsidP="0038695B">
            <w:pPr>
              <w:pStyle w:val="TableParagraph"/>
              <w:ind w:right="883"/>
            </w:pPr>
            <w:proofErr w:type="spellStart"/>
            <w:r>
              <w:rPr>
                <w:b/>
                <w:bCs/>
              </w:rPr>
              <w:t>Задачи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муниципальной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программы</w:t>
            </w:r>
            <w:proofErr w:type="spellEnd"/>
          </w:p>
        </w:tc>
        <w:tc>
          <w:tcPr>
            <w:tcW w:w="7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5F0D" w:rsidRDefault="00DD5F0D" w:rsidP="00DA28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4A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1- Развитие образовательной сети и формирование финансово-</w:t>
            </w:r>
            <w:proofErr w:type="gramStart"/>
            <w:r w:rsidRPr="003E4A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экономических механизмов</w:t>
            </w:r>
            <w:proofErr w:type="gramEnd"/>
            <w:r w:rsidRPr="003E4A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обеспечивающих равный доступ населения к услугам дошкольного, общего и дополнительного образования.</w:t>
            </w:r>
          </w:p>
          <w:p w:rsidR="00DD5F0D" w:rsidRDefault="00DD5F0D" w:rsidP="00DA28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C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2- -Обеспечение  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  <w:p w:rsidR="00DD5F0D" w:rsidRPr="003E4A94" w:rsidRDefault="00DD5F0D" w:rsidP="00DA28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1C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  <w:r w:rsidRPr="00381C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обеспечение надежности и технологичности процедур оценки качества образования.</w:t>
            </w:r>
          </w:p>
          <w:p w:rsidR="00DD5F0D" w:rsidRPr="003E4A94" w:rsidRDefault="00DD5F0D" w:rsidP="00DA28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4</w:t>
            </w:r>
            <w:r w:rsidRPr="003E4A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Обеспечение надлежащих условий для обучения и пребывания детей в муниципальных образовательных учреждениях</w:t>
            </w:r>
          </w:p>
          <w:p w:rsidR="00DD5F0D" w:rsidRPr="003E4A94" w:rsidRDefault="00DD5F0D" w:rsidP="00DA28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5</w:t>
            </w:r>
            <w:r w:rsidRPr="003E4A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Улучшение условий технического функционирования через повышение эффективности использования энергии.</w:t>
            </w:r>
          </w:p>
          <w:p w:rsidR="00DD5F0D" w:rsidRDefault="00DD5F0D" w:rsidP="00DA28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Задача 6</w:t>
            </w:r>
            <w:r w:rsidRPr="003E4A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Создание условий для сохранения и укрепления здоровья обучающихся и воспитанников.</w:t>
            </w:r>
          </w:p>
          <w:p w:rsidR="00DD5F0D" w:rsidRPr="003E4A94" w:rsidRDefault="00DD5F0D" w:rsidP="00DA28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7 – Выявление и поддержка одаренных детей среди обучающихся образовательных организаций.</w:t>
            </w:r>
          </w:p>
          <w:p w:rsidR="00DD5F0D" w:rsidRPr="005F50BB" w:rsidRDefault="00DD5F0D" w:rsidP="00DA28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Задача 8</w:t>
            </w:r>
            <w:r w:rsidRPr="005F50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 Развитие системы непрерывного профессионального образования педагогических работников, руководителей образовательных организаций.</w:t>
            </w:r>
          </w:p>
        </w:tc>
      </w:tr>
      <w:tr w:rsidR="00DD5F0D" w:rsidTr="0038695B">
        <w:tc>
          <w:tcPr>
            <w:tcW w:w="3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5F0D" w:rsidRDefault="00DD5F0D" w:rsidP="0038695B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</w:rPr>
              <w:t>Целевые</w:t>
            </w:r>
            <w:r>
              <w:rPr>
                <w:rFonts w:ascii="Times New Roman" w:hAnsi="Times New Roman" w:cs="Times New Roman"/>
                <w:b/>
                <w:bCs/>
              </w:rPr>
              <w:tab/>
            </w:r>
            <w:r>
              <w:rPr>
                <w:rFonts w:ascii="Times New Roman" w:hAnsi="Times New Roman" w:cs="Times New Roman"/>
                <w:b/>
                <w:bCs/>
                <w:spacing w:val="-1"/>
              </w:rPr>
              <w:t xml:space="preserve">индикаторы </w:t>
            </w:r>
            <w:r>
              <w:rPr>
                <w:rFonts w:ascii="Times New Roman" w:hAnsi="Times New Roman" w:cs="Times New Roman"/>
                <w:b/>
                <w:bCs/>
              </w:rPr>
              <w:lastRenderedPageBreak/>
              <w:t>муниципальной программы</w:t>
            </w:r>
          </w:p>
        </w:tc>
        <w:tc>
          <w:tcPr>
            <w:tcW w:w="7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5F0D" w:rsidRPr="007951CF" w:rsidRDefault="00DD5F0D" w:rsidP="00DC35C6">
            <w:pPr>
              <w:pStyle w:val="TableParagraph"/>
              <w:numPr>
                <w:ilvl w:val="1"/>
                <w:numId w:val="2"/>
              </w:numPr>
              <w:tabs>
                <w:tab w:val="left" w:pos="368"/>
              </w:tabs>
              <w:ind w:left="0" w:right="222" w:firstLine="0"/>
              <w:jc w:val="both"/>
              <w:rPr>
                <w:sz w:val="24"/>
                <w:szCs w:val="24"/>
                <w:lang w:val="ru-RU"/>
              </w:rPr>
            </w:pPr>
            <w:r w:rsidRPr="00821A3D">
              <w:rPr>
                <w:sz w:val="24"/>
                <w:szCs w:val="24"/>
                <w:lang w:val="ru-RU"/>
              </w:rPr>
              <w:lastRenderedPageBreak/>
              <w:t xml:space="preserve">Рост удовлетворенности населения Лахденпохского </w:t>
            </w:r>
            <w:r w:rsidRPr="00821A3D">
              <w:rPr>
                <w:sz w:val="24"/>
                <w:szCs w:val="24"/>
                <w:lang w:val="ru-RU"/>
              </w:rPr>
              <w:lastRenderedPageBreak/>
              <w:t>муниципального района качеством образовательных</w:t>
            </w:r>
            <w:r w:rsidRPr="007951CF">
              <w:rPr>
                <w:rFonts w:ascii="Calibri" w:eastAsia="Calibri" w:hAnsi="Calibri"/>
                <w:color w:val="auto"/>
                <w:lang w:val="ru-RU" w:eastAsia="en-US"/>
              </w:rPr>
              <w:t xml:space="preserve"> </w:t>
            </w:r>
            <w:r w:rsidRPr="007951CF">
              <w:rPr>
                <w:rFonts w:eastAsia="Calibri"/>
                <w:color w:val="auto"/>
                <w:sz w:val="24"/>
                <w:szCs w:val="24"/>
                <w:lang w:val="ru-RU" w:eastAsia="en-US"/>
              </w:rPr>
              <w:t>услуг;</w:t>
            </w:r>
          </w:p>
          <w:p w:rsidR="00DD5F0D" w:rsidRPr="00F53AA2" w:rsidRDefault="00DD5F0D" w:rsidP="00DC35C6">
            <w:pPr>
              <w:pStyle w:val="TableParagraph"/>
              <w:numPr>
                <w:ilvl w:val="1"/>
                <w:numId w:val="2"/>
              </w:numPr>
              <w:tabs>
                <w:tab w:val="left" w:pos="368"/>
              </w:tabs>
              <w:ind w:left="0" w:right="222" w:firstLine="0"/>
              <w:jc w:val="both"/>
              <w:rPr>
                <w:color w:val="auto"/>
                <w:sz w:val="24"/>
                <w:szCs w:val="24"/>
                <w:lang w:val="ru-RU"/>
              </w:rPr>
            </w:pPr>
            <w:r w:rsidRPr="00F53AA2">
              <w:rPr>
                <w:color w:val="auto"/>
                <w:sz w:val="24"/>
                <w:szCs w:val="24"/>
                <w:lang w:val="ru-RU"/>
              </w:rPr>
              <w:t xml:space="preserve"> Доля муниципальных образовательных организаций, в отношении которых один раз в три года проводится независимая оценка качества образовательной деятельности, в общем числе государственных и муниципальных образовательных организаций;</w:t>
            </w:r>
          </w:p>
          <w:p w:rsidR="00DD5F0D" w:rsidRPr="00F53AA2" w:rsidRDefault="00DD5F0D" w:rsidP="00DC35C6">
            <w:pPr>
              <w:pStyle w:val="TableParagraph"/>
              <w:numPr>
                <w:ilvl w:val="1"/>
                <w:numId w:val="2"/>
              </w:numPr>
              <w:tabs>
                <w:tab w:val="left" w:pos="368"/>
              </w:tabs>
              <w:ind w:left="0" w:right="222" w:firstLine="0"/>
              <w:jc w:val="both"/>
              <w:rPr>
                <w:color w:val="auto"/>
                <w:sz w:val="24"/>
                <w:szCs w:val="24"/>
                <w:lang w:val="ru-RU"/>
              </w:rPr>
            </w:pPr>
            <w:r w:rsidRPr="00F53AA2">
              <w:rPr>
                <w:color w:val="auto"/>
                <w:sz w:val="24"/>
                <w:szCs w:val="24"/>
                <w:lang w:val="ru-RU"/>
              </w:rPr>
              <w:t xml:space="preserve"> Доля обучающихся, проживающих в населенных пунктах, на территории которых отсутствуют общеобразовательные организации соответствующего уровня обучения, обеспеченных транспортом для проезда к месту обучения и обратно, в общей численности обучающихся, нуждающихся в подвозе;</w:t>
            </w:r>
          </w:p>
          <w:p w:rsidR="00DD5F0D" w:rsidRPr="00F53AA2" w:rsidRDefault="00DD5F0D" w:rsidP="00DC35C6">
            <w:pPr>
              <w:pStyle w:val="TableParagraph"/>
              <w:numPr>
                <w:ilvl w:val="1"/>
                <w:numId w:val="2"/>
              </w:numPr>
              <w:tabs>
                <w:tab w:val="left" w:pos="368"/>
              </w:tabs>
              <w:ind w:left="0" w:right="222" w:firstLine="0"/>
              <w:jc w:val="both"/>
              <w:rPr>
                <w:color w:val="auto"/>
                <w:sz w:val="24"/>
                <w:szCs w:val="24"/>
                <w:lang w:val="ru-RU"/>
              </w:rPr>
            </w:pPr>
            <w:r w:rsidRPr="00F53AA2">
              <w:rPr>
                <w:color w:val="auto"/>
                <w:sz w:val="24"/>
                <w:szCs w:val="24"/>
                <w:lang w:val="ru-RU"/>
              </w:rPr>
              <w:t xml:space="preserve"> Увеличение охвата детей обучающихся по общеобразовательным программам дошкольного образования;</w:t>
            </w:r>
          </w:p>
          <w:p w:rsidR="00DD5F0D" w:rsidRDefault="00DD5F0D" w:rsidP="0038695B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2.1 </w:t>
            </w:r>
            <w:r w:rsidRPr="00821A3D">
              <w:rPr>
                <w:sz w:val="24"/>
                <w:szCs w:val="24"/>
                <w:lang w:val="ru-RU"/>
              </w:rPr>
              <w:t>Увеличение охвата детей в возрасте от 5 до 18 лет дополнительным образованием</w:t>
            </w:r>
            <w:r>
              <w:rPr>
                <w:sz w:val="24"/>
                <w:szCs w:val="24"/>
                <w:lang w:val="ru-RU"/>
              </w:rPr>
              <w:t>;</w:t>
            </w:r>
            <w:r w:rsidRPr="00821A3D">
              <w:rPr>
                <w:sz w:val="24"/>
                <w:szCs w:val="24"/>
                <w:lang w:val="ru-RU"/>
              </w:rPr>
              <w:t xml:space="preserve"> </w:t>
            </w:r>
          </w:p>
          <w:p w:rsidR="00DD5F0D" w:rsidRPr="008F7434" w:rsidRDefault="00DD5F0D" w:rsidP="0038695B">
            <w:pPr>
              <w:pStyle w:val="TableParagraph"/>
              <w:jc w:val="both"/>
              <w:rPr>
                <w:color w:val="C00000"/>
                <w:sz w:val="24"/>
                <w:szCs w:val="24"/>
                <w:lang w:val="ru-RU"/>
              </w:rPr>
            </w:pPr>
            <w:r w:rsidRPr="00F53AA2">
              <w:rPr>
                <w:color w:val="auto"/>
                <w:sz w:val="24"/>
                <w:szCs w:val="24"/>
                <w:lang w:val="ru-RU"/>
              </w:rPr>
              <w:t>2.2  Число участников открытых онлайн-уроков, реализуемых с учетом опыта циклов открытых уроков "</w:t>
            </w:r>
            <w:proofErr w:type="spellStart"/>
            <w:r w:rsidRPr="00F53AA2">
              <w:rPr>
                <w:color w:val="auto"/>
                <w:sz w:val="24"/>
                <w:szCs w:val="24"/>
                <w:lang w:val="ru-RU"/>
              </w:rPr>
              <w:t>Проектория</w:t>
            </w:r>
            <w:proofErr w:type="spellEnd"/>
            <w:r w:rsidRPr="00F53AA2">
              <w:rPr>
                <w:color w:val="auto"/>
                <w:sz w:val="24"/>
                <w:szCs w:val="24"/>
                <w:lang w:val="ru-RU"/>
              </w:rPr>
              <w:t>", "Уроки настоящего" или иных, аналогичных по возможностям, функциям и результатам проектах, направленных на раннюю профориентацию</w:t>
            </w:r>
            <w:r w:rsidRPr="008F7434">
              <w:rPr>
                <w:color w:val="C00000"/>
                <w:sz w:val="24"/>
                <w:szCs w:val="24"/>
                <w:lang w:val="ru-RU"/>
              </w:rPr>
              <w:t>;</w:t>
            </w:r>
          </w:p>
          <w:p w:rsidR="00DD5F0D" w:rsidRDefault="00DD5F0D" w:rsidP="0038695B">
            <w:pPr>
              <w:pStyle w:val="TableParagraph"/>
              <w:tabs>
                <w:tab w:val="left" w:pos="368"/>
              </w:tabs>
              <w:ind w:right="222"/>
              <w:rPr>
                <w:sz w:val="24"/>
                <w:szCs w:val="24"/>
                <w:lang w:val="ru-RU"/>
              </w:rPr>
            </w:pPr>
            <w:r w:rsidRPr="00821A3D">
              <w:rPr>
                <w:sz w:val="24"/>
                <w:szCs w:val="24"/>
                <w:lang w:val="ru-RU"/>
              </w:rPr>
              <w:t>2.</w:t>
            </w:r>
            <w:r>
              <w:rPr>
                <w:sz w:val="24"/>
                <w:szCs w:val="24"/>
                <w:lang w:val="ru-RU"/>
              </w:rPr>
              <w:t xml:space="preserve">3 </w:t>
            </w:r>
            <w:r w:rsidRPr="00F73A32">
              <w:rPr>
                <w:color w:val="auto"/>
                <w:sz w:val="24"/>
                <w:szCs w:val="24"/>
                <w:lang w:val="ru-RU"/>
              </w:rPr>
              <w:t xml:space="preserve"> </w:t>
            </w:r>
            <w:r w:rsidRPr="00F73A32">
              <w:rPr>
                <w:sz w:val="24"/>
                <w:szCs w:val="24"/>
                <w:lang w:val="ru-RU"/>
              </w:rPr>
              <w:t>Доля детей, охваченных ПФ</w:t>
            </w:r>
            <w:r>
              <w:rPr>
                <w:sz w:val="24"/>
                <w:szCs w:val="24"/>
                <w:lang w:val="ru-RU"/>
              </w:rPr>
              <w:t>, в соответствии с Соглашением о реализации ГП «Успех каждого ребенка»;</w:t>
            </w:r>
          </w:p>
          <w:p w:rsidR="00DD5F0D" w:rsidRDefault="00DD5F0D" w:rsidP="0038695B">
            <w:pPr>
              <w:pStyle w:val="TableParagraph"/>
              <w:tabs>
                <w:tab w:val="left" w:pos="368"/>
              </w:tabs>
              <w:ind w:right="22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  <w:r w:rsidRPr="00D97888">
              <w:rPr>
                <w:sz w:val="24"/>
                <w:szCs w:val="24"/>
                <w:lang w:val="ru-RU"/>
              </w:rPr>
              <w:t>.1</w:t>
            </w:r>
            <w:r w:rsidRPr="00D97888">
              <w:rPr>
                <w:sz w:val="24"/>
                <w:szCs w:val="24"/>
                <w:lang w:val="ru-RU"/>
              </w:rPr>
              <w:tab/>
              <w:t>Обеспечение проведения государственной итого</w:t>
            </w:r>
            <w:r>
              <w:rPr>
                <w:sz w:val="24"/>
                <w:szCs w:val="24"/>
                <w:lang w:val="ru-RU"/>
              </w:rPr>
              <w:t>вой аттестации обучающихся, всероссийских проверочных работ.</w:t>
            </w:r>
          </w:p>
          <w:p w:rsidR="00DD5F0D" w:rsidRPr="00062DC0" w:rsidRDefault="00DD5F0D" w:rsidP="0038695B">
            <w:pPr>
              <w:pStyle w:val="TableParagraph"/>
              <w:tabs>
                <w:tab w:val="left" w:pos="368"/>
              </w:tabs>
              <w:ind w:right="22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3.2 Доля обучающихся, сдавших на оценки «3», «4», «5» всероссийские проверочные работы.</w:t>
            </w:r>
          </w:p>
          <w:p w:rsidR="00DD5F0D" w:rsidRDefault="00DD5F0D" w:rsidP="0038695B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4.1  Доля</w:t>
            </w:r>
            <w:r w:rsidRPr="007C097F">
              <w:rPr>
                <w:sz w:val="24"/>
                <w:szCs w:val="24"/>
                <w:lang w:val="ru-RU"/>
              </w:rPr>
              <w:t xml:space="preserve"> образовательных учреждений, здания которых находятся в аварийном состоянии или требуют капитального ремонта в общем количестве образовательных учреждений</w:t>
            </w:r>
            <w:proofErr w:type="gramStart"/>
            <w:r w:rsidRPr="007C097F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;</w:t>
            </w:r>
            <w:proofErr w:type="gramEnd"/>
            <w:r w:rsidRPr="007C097F">
              <w:rPr>
                <w:sz w:val="24"/>
                <w:szCs w:val="24"/>
                <w:lang w:val="ru-RU"/>
              </w:rPr>
              <w:t xml:space="preserve"> </w:t>
            </w:r>
          </w:p>
          <w:p w:rsidR="00DD5F0D" w:rsidRPr="00F53AA2" w:rsidRDefault="00DD5F0D" w:rsidP="0038695B">
            <w:pPr>
              <w:pStyle w:val="TableParagraph"/>
              <w:rPr>
                <w:color w:val="auto"/>
                <w:sz w:val="24"/>
                <w:szCs w:val="24"/>
                <w:lang w:val="ru-RU"/>
              </w:rPr>
            </w:pPr>
            <w:r w:rsidRPr="00F53AA2">
              <w:rPr>
                <w:color w:val="auto"/>
                <w:sz w:val="24"/>
                <w:szCs w:val="24"/>
                <w:lang w:val="ru-RU"/>
              </w:rPr>
              <w:t>4.2 Количество общеобразовательных организаций, расположенных в сельской местности, в которых отремонтированы спортивные залы;</w:t>
            </w:r>
          </w:p>
          <w:p w:rsidR="00DD5F0D" w:rsidRPr="00F53AA2" w:rsidRDefault="00DD5F0D" w:rsidP="0038695B">
            <w:pPr>
              <w:pStyle w:val="TableParagraph"/>
              <w:jc w:val="both"/>
              <w:rPr>
                <w:color w:val="auto"/>
                <w:sz w:val="24"/>
                <w:szCs w:val="24"/>
                <w:lang w:val="ru-RU"/>
              </w:rPr>
            </w:pPr>
            <w:r w:rsidRPr="00F53AA2">
              <w:rPr>
                <w:color w:val="auto"/>
                <w:sz w:val="24"/>
                <w:szCs w:val="24"/>
                <w:lang w:val="ru-RU"/>
              </w:rPr>
              <w:t>4.3. Доля   общеобразовательных организаций, расположенных в сельской местности, в которых имеющиеся аудитории перепрофилированы под спортивные залы для занятия физической культурой и спортом от общего количества образовательных организаций, расположенных в сельской местности;</w:t>
            </w:r>
          </w:p>
          <w:p w:rsidR="00DD5F0D" w:rsidRPr="00F53AA2" w:rsidRDefault="00DD5F0D" w:rsidP="0038695B">
            <w:pPr>
              <w:pStyle w:val="TableParagraph"/>
              <w:rPr>
                <w:color w:val="auto"/>
                <w:sz w:val="24"/>
                <w:szCs w:val="24"/>
                <w:lang w:val="ru-RU"/>
              </w:rPr>
            </w:pPr>
            <w:r w:rsidRPr="00F53AA2">
              <w:rPr>
                <w:color w:val="auto"/>
                <w:sz w:val="24"/>
                <w:szCs w:val="24"/>
                <w:lang w:val="ru-RU"/>
              </w:rPr>
              <w:t>4.4 Доля  общеобразовательных организаций, расположенных в сельской местности, в которых открытые плоскостные спортивные сооружения оснащены спортивным инвентарем и оборудованием от общего количества общеобразовательных организаций, расположенных в сельской местности;</w:t>
            </w:r>
          </w:p>
          <w:p w:rsidR="00DD5F0D" w:rsidRPr="006A0F07" w:rsidRDefault="00DD5F0D" w:rsidP="0038695B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5.1 </w:t>
            </w:r>
            <w:proofErr w:type="gramStart"/>
            <w:r>
              <w:rPr>
                <w:sz w:val="24"/>
                <w:szCs w:val="24"/>
                <w:lang w:val="ru-RU"/>
              </w:rPr>
              <w:t>Финансовые</w:t>
            </w:r>
            <w:proofErr w:type="gramEnd"/>
            <w:r w:rsidRPr="006A0F07">
              <w:rPr>
                <w:sz w:val="24"/>
                <w:szCs w:val="24"/>
                <w:lang w:val="ru-RU"/>
              </w:rPr>
              <w:t xml:space="preserve"> затрат на оплату коммунальных услуг</w:t>
            </w:r>
            <w:r>
              <w:rPr>
                <w:sz w:val="24"/>
                <w:szCs w:val="24"/>
                <w:lang w:val="ru-RU"/>
              </w:rPr>
              <w:t>;</w:t>
            </w:r>
            <w:r w:rsidRPr="006A0F07">
              <w:rPr>
                <w:sz w:val="24"/>
                <w:szCs w:val="24"/>
                <w:lang w:val="ru-RU"/>
              </w:rPr>
              <w:t xml:space="preserve"> </w:t>
            </w:r>
          </w:p>
          <w:p w:rsidR="00DD5F0D" w:rsidRPr="008E665B" w:rsidRDefault="00DD5F0D" w:rsidP="0038695B">
            <w:pPr>
              <w:pStyle w:val="TableParagraph"/>
              <w:tabs>
                <w:tab w:val="left" w:pos="368"/>
              </w:tabs>
              <w:ind w:right="22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6.1 Процент  обучающихся с </w:t>
            </w:r>
            <w:r>
              <w:rPr>
                <w:sz w:val="24"/>
                <w:szCs w:val="24"/>
              </w:rPr>
              <w:t>I</w:t>
            </w:r>
            <w:r w:rsidRPr="006A0F07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 и </w:t>
            </w:r>
            <w:r>
              <w:rPr>
                <w:sz w:val="24"/>
                <w:szCs w:val="24"/>
              </w:rPr>
              <w:t>II</w:t>
            </w:r>
            <w:r>
              <w:rPr>
                <w:sz w:val="24"/>
                <w:szCs w:val="24"/>
                <w:lang w:val="ru-RU"/>
              </w:rPr>
              <w:t xml:space="preserve"> группы здоровья от общего количества обучающихся и воспитанников;</w:t>
            </w:r>
          </w:p>
          <w:p w:rsidR="00DD5F0D" w:rsidRPr="005F50BB" w:rsidRDefault="00DD5F0D" w:rsidP="0038695B">
            <w:pPr>
              <w:pStyle w:val="TableParagraph"/>
              <w:spacing w:before="1"/>
              <w:ind w:right="449"/>
              <w:jc w:val="both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  <w:lang w:val="ru-RU"/>
              </w:rPr>
              <w:t xml:space="preserve">7.1. </w:t>
            </w:r>
            <w:r w:rsidRPr="005F50BB">
              <w:rPr>
                <w:color w:val="auto"/>
                <w:sz w:val="24"/>
                <w:szCs w:val="24"/>
                <w:lang w:val="ru-RU"/>
              </w:rPr>
              <w:t>Количество обучающихся, участвующих в районных, реги</w:t>
            </w:r>
            <w:r>
              <w:rPr>
                <w:color w:val="auto"/>
                <w:sz w:val="24"/>
                <w:szCs w:val="24"/>
                <w:lang w:val="ru-RU"/>
              </w:rPr>
              <w:t>ональных  конкурсах, олимпиадах;</w:t>
            </w:r>
          </w:p>
          <w:p w:rsidR="00DD5F0D" w:rsidRDefault="00DD5F0D" w:rsidP="0038695B">
            <w:pPr>
              <w:pStyle w:val="TableParagraph"/>
              <w:spacing w:before="1"/>
              <w:ind w:right="449"/>
              <w:jc w:val="both"/>
              <w:rPr>
                <w:color w:val="C00000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  <w:lang w:val="ru-RU"/>
              </w:rPr>
              <w:t xml:space="preserve">8.1 </w:t>
            </w:r>
            <w:r w:rsidRPr="005F50BB">
              <w:rPr>
                <w:color w:val="auto"/>
                <w:sz w:val="24"/>
                <w:szCs w:val="24"/>
                <w:lang w:val="ru-RU"/>
              </w:rPr>
              <w:t>Количество педагогических работников, участвующих в конкурсах педагогического мастерства</w:t>
            </w:r>
            <w:r>
              <w:rPr>
                <w:color w:val="C00000"/>
                <w:sz w:val="24"/>
                <w:szCs w:val="24"/>
                <w:lang w:val="ru-RU"/>
              </w:rPr>
              <w:t>;</w:t>
            </w:r>
          </w:p>
          <w:p w:rsidR="00DD5F0D" w:rsidRPr="00F53AA2" w:rsidRDefault="00DD5F0D" w:rsidP="0038695B">
            <w:pPr>
              <w:pStyle w:val="TableParagraph"/>
              <w:spacing w:before="1"/>
              <w:ind w:right="449"/>
              <w:jc w:val="both"/>
              <w:rPr>
                <w:color w:val="auto"/>
                <w:lang w:val="ru-RU"/>
              </w:rPr>
            </w:pPr>
            <w:r w:rsidRPr="00F53AA2">
              <w:rPr>
                <w:color w:val="auto"/>
                <w:sz w:val="24"/>
                <w:szCs w:val="24"/>
                <w:lang w:val="ru-RU"/>
              </w:rPr>
              <w:t>8.2 Доля педагогических работников образовательных организаций, проходящих повышение квалификации и (или) переподготовку по профилю педагогической деятельности не реже чем один раз в три года, в общем числе педагогических работников образовательных организаций.</w:t>
            </w:r>
          </w:p>
        </w:tc>
      </w:tr>
      <w:tr w:rsidR="00DD5F0D" w:rsidTr="0038695B">
        <w:tc>
          <w:tcPr>
            <w:tcW w:w="3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5F0D" w:rsidRDefault="00DD5F0D" w:rsidP="00386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81912">
              <w:rPr>
                <w:rFonts w:ascii="Times New Roman" w:hAnsi="Times New Roman" w:cs="Times New Roman"/>
                <w:b/>
                <w:bCs/>
              </w:rPr>
              <w:lastRenderedPageBreak/>
              <w:t>Конечные</w:t>
            </w:r>
            <w:r w:rsidRPr="00E81912">
              <w:rPr>
                <w:rFonts w:ascii="Times New Roman" w:hAnsi="Times New Roman" w:cs="Times New Roman"/>
                <w:b/>
                <w:bCs/>
              </w:rPr>
              <w:tab/>
              <w:t xml:space="preserve">результаты </w:t>
            </w:r>
            <w:r w:rsidRPr="00E81912">
              <w:rPr>
                <w:rFonts w:ascii="Times New Roman" w:hAnsi="Times New Roman" w:cs="Times New Roman"/>
                <w:b/>
                <w:bCs/>
              </w:rPr>
              <w:lastRenderedPageBreak/>
              <w:t>муниципальной  программы</w:t>
            </w:r>
          </w:p>
        </w:tc>
        <w:tc>
          <w:tcPr>
            <w:tcW w:w="7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5F0D" w:rsidRDefault="00DD5F0D" w:rsidP="00DA2889">
            <w:pPr>
              <w:pStyle w:val="TableParagraph"/>
              <w:tabs>
                <w:tab w:val="left" w:pos="406"/>
              </w:tabs>
              <w:ind w:right="216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По отношению к 20</w:t>
            </w:r>
            <w:r w:rsidR="00DC35C6">
              <w:rPr>
                <w:sz w:val="24"/>
                <w:szCs w:val="24"/>
                <w:lang w:val="ru-RU"/>
              </w:rPr>
              <w:t>20</w:t>
            </w:r>
            <w:r>
              <w:rPr>
                <w:sz w:val="24"/>
                <w:szCs w:val="24"/>
                <w:lang w:val="ru-RU"/>
              </w:rPr>
              <w:t xml:space="preserve"> году:</w:t>
            </w:r>
          </w:p>
          <w:p w:rsidR="00DD5F0D" w:rsidRDefault="00DD5F0D" w:rsidP="00DC35C6">
            <w:pPr>
              <w:pStyle w:val="TableParagraph"/>
              <w:numPr>
                <w:ilvl w:val="1"/>
                <w:numId w:val="1"/>
              </w:numPr>
              <w:tabs>
                <w:tab w:val="left" w:pos="97"/>
              </w:tabs>
              <w:ind w:left="0" w:right="216" w:firstLine="0"/>
              <w:jc w:val="both"/>
              <w:rPr>
                <w:sz w:val="24"/>
                <w:szCs w:val="24"/>
                <w:lang w:val="ru-RU"/>
              </w:rPr>
            </w:pPr>
            <w:r w:rsidRPr="008E665B">
              <w:rPr>
                <w:sz w:val="24"/>
                <w:szCs w:val="24"/>
                <w:lang w:val="ru-RU"/>
              </w:rPr>
              <w:lastRenderedPageBreak/>
              <w:t>Рост удовлетворенности населения Лахденпохского муниципального района качеством образовательных услуг  до 75%.</w:t>
            </w:r>
          </w:p>
          <w:p w:rsidR="00DD5F0D" w:rsidRDefault="00DD5F0D" w:rsidP="00DC35C6">
            <w:pPr>
              <w:numPr>
                <w:ilvl w:val="1"/>
                <w:numId w:val="1"/>
              </w:numPr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D3B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муниципальных образовательных организаций, в отношении которых один раз в три года проводится независимая оценка качества образовательной деятельности, в общем числе государственных и 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ных образовательных организаций 100%;</w:t>
            </w:r>
          </w:p>
          <w:p w:rsidR="00DD5F0D" w:rsidRPr="00A41D3B" w:rsidRDefault="00DD5F0D" w:rsidP="00DC35C6">
            <w:pPr>
              <w:numPr>
                <w:ilvl w:val="1"/>
                <w:numId w:val="1"/>
              </w:numPr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D3B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обучающихся, проживающих в населенных пунктах, на территории которых отсутствуют общеобразовательные организации соответствующего уровня обучения, обеспеченных транспортом для проезда к месту обучения и обратно, в общей численности обучающихся, нуждающихся в подвозе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D5F0D" w:rsidRDefault="00DD5F0D" w:rsidP="00DC35C6">
            <w:pPr>
              <w:numPr>
                <w:ilvl w:val="1"/>
                <w:numId w:val="1"/>
              </w:numPr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40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охвата детей обучающихся по общеобразовательным программам дошкольного образования, до  100 %.</w:t>
            </w:r>
          </w:p>
          <w:p w:rsidR="00DA2889" w:rsidRPr="008A5D40" w:rsidRDefault="00DA2889" w:rsidP="00DA288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5F0D" w:rsidRPr="008A5D40" w:rsidRDefault="00DD5F0D" w:rsidP="00DA28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D40">
              <w:rPr>
                <w:rFonts w:ascii="Times New Roman" w:hAnsi="Times New Roman" w:cs="Times New Roman"/>
                <w:sz w:val="24"/>
                <w:szCs w:val="24"/>
              </w:rPr>
              <w:t>2.1Увеличение охвата детей в возрасте от 5 до 18 лет дополнительным образованием до 78%.</w:t>
            </w:r>
          </w:p>
          <w:p w:rsidR="00DD5F0D" w:rsidRPr="008A5D40" w:rsidRDefault="00DD5F0D" w:rsidP="00DA28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40">
              <w:rPr>
                <w:rFonts w:ascii="Times New Roman" w:hAnsi="Times New Roman" w:cs="Times New Roman"/>
                <w:sz w:val="24"/>
                <w:szCs w:val="24"/>
              </w:rPr>
              <w:t>2.2 Увеличение Числа участников открытых онлайн-уроков, реализуемых с учетом опыта циклов открытых уроков "</w:t>
            </w:r>
            <w:proofErr w:type="spellStart"/>
            <w:r w:rsidRPr="008A5D40">
              <w:rPr>
                <w:rFonts w:ascii="Times New Roman" w:hAnsi="Times New Roman" w:cs="Times New Roman"/>
                <w:sz w:val="24"/>
                <w:szCs w:val="24"/>
              </w:rPr>
              <w:t>Проектория</w:t>
            </w:r>
            <w:proofErr w:type="spellEnd"/>
            <w:r w:rsidRPr="008A5D40">
              <w:rPr>
                <w:rFonts w:ascii="Times New Roman" w:hAnsi="Times New Roman" w:cs="Times New Roman"/>
                <w:sz w:val="24"/>
                <w:szCs w:val="24"/>
              </w:rPr>
              <w:t>", "Уроки настоящего" или иных, аналогичных по возможностям, функциям и результатам проектах, направленных на раннюю профориентацию;</w:t>
            </w:r>
          </w:p>
          <w:p w:rsidR="00DD5F0D" w:rsidRPr="00DA2889" w:rsidRDefault="00DD5F0D" w:rsidP="00DA2889">
            <w:pPr>
              <w:pStyle w:val="TableParagraph"/>
              <w:numPr>
                <w:ilvl w:val="1"/>
                <w:numId w:val="3"/>
              </w:numPr>
              <w:tabs>
                <w:tab w:val="left" w:pos="0"/>
              </w:tabs>
              <w:ind w:right="216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Доля детей, охваченных ПФ в соответствии с Соглашением о реализации ГП «Успех каждого ребенка»</w:t>
            </w:r>
          </w:p>
          <w:p w:rsidR="00DA2889" w:rsidRPr="006A4CF2" w:rsidRDefault="00DA2889" w:rsidP="00DA2889">
            <w:pPr>
              <w:pStyle w:val="TableParagraph"/>
              <w:tabs>
                <w:tab w:val="left" w:pos="0"/>
              </w:tabs>
              <w:ind w:left="360" w:right="216"/>
              <w:jc w:val="both"/>
              <w:rPr>
                <w:sz w:val="24"/>
                <w:szCs w:val="24"/>
                <w:lang w:val="ru-RU"/>
              </w:rPr>
            </w:pPr>
          </w:p>
          <w:p w:rsidR="00DD5F0D" w:rsidRPr="00F53AA2" w:rsidRDefault="00DD5F0D" w:rsidP="00DA2889">
            <w:pPr>
              <w:pStyle w:val="TableParagraph"/>
              <w:tabs>
                <w:tab w:val="left" w:pos="0"/>
              </w:tabs>
              <w:ind w:right="216"/>
              <w:jc w:val="both"/>
              <w:rPr>
                <w:color w:val="auto"/>
                <w:sz w:val="24"/>
                <w:szCs w:val="24"/>
                <w:lang w:val="ru-RU"/>
              </w:rPr>
            </w:pPr>
            <w:r w:rsidRPr="00F53AA2">
              <w:rPr>
                <w:color w:val="auto"/>
                <w:sz w:val="24"/>
                <w:szCs w:val="24"/>
                <w:lang w:val="ru-RU"/>
              </w:rPr>
              <w:t xml:space="preserve">3.1 Доля </w:t>
            </w:r>
            <w:proofErr w:type="gramStart"/>
            <w:r w:rsidRPr="00F53AA2">
              <w:rPr>
                <w:color w:val="auto"/>
                <w:sz w:val="24"/>
                <w:szCs w:val="24"/>
                <w:lang w:val="ru-RU"/>
              </w:rPr>
              <w:t>обучающихся</w:t>
            </w:r>
            <w:proofErr w:type="gramEnd"/>
            <w:r w:rsidRPr="00F53AA2">
              <w:rPr>
                <w:color w:val="auto"/>
                <w:sz w:val="24"/>
                <w:szCs w:val="24"/>
                <w:lang w:val="ru-RU"/>
              </w:rPr>
              <w:t>, сдавших государственную итоговую аттестаци100%;</w:t>
            </w:r>
          </w:p>
          <w:p w:rsidR="00DD5F0D" w:rsidRPr="00F53AA2" w:rsidRDefault="00DD5F0D" w:rsidP="00DA2889">
            <w:pPr>
              <w:pStyle w:val="TableParagraph"/>
              <w:tabs>
                <w:tab w:val="left" w:pos="0"/>
              </w:tabs>
              <w:ind w:right="216"/>
              <w:jc w:val="both"/>
              <w:rPr>
                <w:color w:val="auto"/>
                <w:sz w:val="24"/>
                <w:szCs w:val="24"/>
                <w:lang w:val="ru-RU"/>
              </w:rPr>
            </w:pPr>
            <w:r w:rsidRPr="00F53AA2">
              <w:rPr>
                <w:color w:val="auto"/>
                <w:sz w:val="24"/>
                <w:szCs w:val="24"/>
                <w:lang w:val="ru-RU"/>
              </w:rPr>
              <w:t>3.2. Увеличение доли обучающихся, написавших на оценки «3», «4», «5» всероссийские проверочные работы 106%.</w:t>
            </w:r>
          </w:p>
          <w:p w:rsidR="00DD5F0D" w:rsidRDefault="00DD5F0D" w:rsidP="0038695B">
            <w:pPr>
              <w:pStyle w:val="TableParagraph"/>
              <w:tabs>
                <w:tab w:val="left" w:pos="0"/>
                <w:tab w:val="left" w:pos="1508"/>
              </w:tabs>
              <w:ind w:right="216"/>
              <w:jc w:val="both"/>
              <w:rPr>
                <w:color w:val="C00000"/>
                <w:sz w:val="24"/>
                <w:szCs w:val="24"/>
                <w:lang w:val="ru-RU"/>
              </w:rPr>
            </w:pPr>
          </w:p>
          <w:p w:rsidR="00DD5F0D" w:rsidRDefault="00DD5F0D" w:rsidP="00DC35C6">
            <w:pPr>
              <w:pStyle w:val="TableParagraph"/>
              <w:numPr>
                <w:ilvl w:val="1"/>
                <w:numId w:val="4"/>
              </w:numPr>
              <w:tabs>
                <w:tab w:val="left" w:pos="0"/>
              </w:tabs>
              <w:ind w:left="0" w:right="216" w:firstLine="0"/>
              <w:jc w:val="both"/>
              <w:rPr>
                <w:sz w:val="24"/>
                <w:szCs w:val="24"/>
                <w:lang w:val="ru-RU"/>
              </w:rPr>
            </w:pPr>
            <w:r w:rsidRPr="00F6420F">
              <w:rPr>
                <w:sz w:val="24"/>
                <w:szCs w:val="24"/>
                <w:lang w:val="ru-RU"/>
              </w:rPr>
              <w:t xml:space="preserve">Сокращение доли образовательных учреждений, здания которых находятся в аварийном состоянии или требуют капитального ремонта в общем количестве образовательных учреждений  с 57% до 25%.  </w:t>
            </w:r>
            <w:proofErr w:type="gramStart"/>
            <w:r w:rsidRPr="00F6420F">
              <w:rPr>
                <w:sz w:val="24"/>
                <w:szCs w:val="24"/>
                <w:lang w:val="ru-RU"/>
              </w:rPr>
              <w:t xml:space="preserve">( </w:t>
            </w:r>
            <w:proofErr w:type="gramEnd"/>
            <w:r w:rsidRPr="00F6420F">
              <w:rPr>
                <w:sz w:val="24"/>
                <w:szCs w:val="24"/>
                <w:lang w:val="ru-RU"/>
              </w:rPr>
              <w:t>на 32%).</w:t>
            </w:r>
          </w:p>
          <w:p w:rsidR="00DD5F0D" w:rsidRDefault="00DD5F0D" w:rsidP="00DC35C6">
            <w:pPr>
              <w:pStyle w:val="TableParagraph"/>
              <w:numPr>
                <w:ilvl w:val="1"/>
                <w:numId w:val="4"/>
              </w:numPr>
              <w:tabs>
                <w:tab w:val="left" w:pos="0"/>
              </w:tabs>
              <w:ind w:left="0" w:right="216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Увеличение количества</w:t>
            </w:r>
            <w:r w:rsidRPr="007A068C">
              <w:rPr>
                <w:sz w:val="24"/>
                <w:szCs w:val="24"/>
                <w:lang w:val="ru-RU"/>
              </w:rPr>
              <w:t xml:space="preserve"> общеобразовательных организаций, расположенных в сельской местности, в которых отремонтированы спортивные залы;</w:t>
            </w:r>
          </w:p>
          <w:p w:rsidR="00DD5F0D" w:rsidRPr="00FD3887" w:rsidRDefault="00DD5F0D" w:rsidP="00DC35C6">
            <w:pPr>
              <w:pStyle w:val="TableParagraph"/>
              <w:numPr>
                <w:ilvl w:val="1"/>
                <w:numId w:val="4"/>
              </w:numPr>
              <w:tabs>
                <w:tab w:val="left" w:pos="0"/>
              </w:tabs>
              <w:ind w:left="0" w:right="216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Уменьшение доли </w:t>
            </w:r>
            <w:r w:rsidRPr="00FD3887">
              <w:rPr>
                <w:sz w:val="24"/>
                <w:szCs w:val="24"/>
                <w:lang w:val="ru-RU"/>
              </w:rPr>
              <w:t xml:space="preserve"> общеобразовательных организаций, расположенных в сельской местности, в которых имеющиеся аудитории перепрофилированы под спортивные залы для занятия</w:t>
            </w:r>
            <w:r>
              <w:rPr>
                <w:sz w:val="24"/>
                <w:szCs w:val="24"/>
                <w:lang w:val="ru-RU"/>
              </w:rPr>
              <w:t xml:space="preserve"> физической культурой и спортом от общего количества образовательных организаций, расположенных в сельской местности;</w:t>
            </w:r>
          </w:p>
          <w:p w:rsidR="00DD5F0D" w:rsidRDefault="00DD5F0D" w:rsidP="0038695B">
            <w:pPr>
              <w:pStyle w:val="TableParagraph"/>
              <w:tabs>
                <w:tab w:val="left" w:pos="0"/>
              </w:tabs>
              <w:ind w:right="216"/>
              <w:jc w:val="both"/>
              <w:rPr>
                <w:sz w:val="24"/>
                <w:szCs w:val="24"/>
                <w:lang w:val="ru-RU"/>
              </w:rPr>
            </w:pPr>
            <w:r w:rsidRPr="00FD3887">
              <w:rPr>
                <w:sz w:val="24"/>
                <w:szCs w:val="24"/>
                <w:lang w:val="ru-RU"/>
              </w:rPr>
              <w:t xml:space="preserve">4.4 </w:t>
            </w:r>
            <w:r>
              <w:rPr>
                <w:sz w:val="24"/>
                <w:szCs w:val="24"/>
                <w:lang w:val="ru-RU"/>
              </w:rPr>
              <w:t>Увеличение доли</w:t>
            </w:r>
            <w:r w:rsidRPr="00FD3887">
              <w:rPr>
                <w:sz w:val="24"/>
                <w:szCs w:val="24"/>
                <w:lang w:val="ru-RU"/>
              </w:rPr>
              <w:t xml:space="preserve">  общеобразовательных организаций, расположенных в сельской местности, в которых открытые плоскостные спортивные сооружения оснащены спортивным инвентарем и оборудованием от общего количества общеобразовательных организаций, расположенных в сельской местности;</w:t>
            </w:r>
          </w:p>
          <w:p w:rsidR="00DD5F0D" w:rsidRPr="00F6420F" w:rsidRDefault="00DD5F0D" w:rsidP="0038695B">
            <w:pPr>
              <w:pStyle w:val="TableParagraph"/>
              <w:tabs>
                <w:tab w:val="left" w:pos="0"/>
              </w:tabs>
              <w:ind w:right="216"/>
              <w:jc w:val="both"/>
              <w:rPr>
                <w:sz w:val="24"/>
                <w:szCs w:val="24"/>
                <w:lang w:val="ru-RU"/>
              </w:rPr>
            </w:pPr>
          </w:p>
          <w:p w:rsidR="00DD5F0D" w:rsidRDefault="00DD5F0D" w:rsidP="0038695B">
            <w:pPr>
              <w:pStyle w:val="TableParagraph"/>
              <w:tabs>
                <w:tab w:val="left" w:pos="406"/>
              </w:tabs>
              <w:ind w:right="216"/>
              <w:jc w:val="both"/>
              <w:rPr>
                <w:sz w:val="24"/>
                <w:szCs w:val="24"/>
                <w:lang w:val="ru-RU"/>
              </w:rPr>
            </w:pPr>
            <w:r w:rsidRPr="008E665B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5.1 </w:t>
            </w:r>
            <w:r w:rsidRPr="008E665B">
              <w:rPr>
                <w:sz w:val="24"/>
                <w:szCs w:val="24"/>
                <w:lang w:val="ru-RU"/>
              </w:rPr>
              <w:t>Снижение финансовых затрат на оплату коммунальных услуг на 5%  по отношению к 2019г.</w:t>
            </w:r>
          </w:p>
          <w:p w:rsidR="00DA2889" w:rsidRPr="00623FB3" w:rsidRDefault="00DA2889" w:rsidP="0038695B">
            <w:pPr>
              <w:pStyle w:val="TableParagraph"/>
              <w:tabs>
                <w:tab w:val="left" w:pos="406"/>
              </w:tabs>
              <w:ind w:right="216"/>
              <w:jc w:val="both"/>
              <w:rPr>
                <w:sz w:val="24"/>
                <w:szCs w:val="24"/>
                <w:lang w:val="ru-RU"/>
              </w:rPr>
            </w:pPr>
          </w:p>
          <w:p w:rsidR="00DD5F0D" w:rsidRDefault="00DD5F0D" w:rsidP="0038695B">
            <w:pPr>
              <w:pStyle w:val="TableParagraph"/>
              <w:tabs>
                <w:tab w:val="left" w:pos="406"/>
              </w:tabs>
              <w:ind w:right="216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  <w:lang w:val="ru-RU"/>
              </w:rPr>
              <w:t xml:space="preserve">6.1 Увеличение доли </w:t>
            </w:r>
            <w:proofErr w:type="gramStart"/>
            <w:r>
              <w:rPr>
                <w:color w:val="auto"/>
                <w:sz w:val="24"/>
                <w:szCs w:val="24"/>
                <w:lang w:val="ru-RU"/>
              </w:rPr>
              <w:t>обучающихся</w:t>
            </w:r>
            <w:proofErr w:type="gramEnd"/>
            <w:r>
              <w:rPr>
                <w:color w:val="auto"/>
                <w:sz w:val="24"/>
                <w:szCs w:val="24"/>
                <w:lang w:val="ru-RU"/>
              </w:rPr>
              <w:t xml:space="preserve"> с </w:t>
            </w:r>
            <w:r>
              <w:rPr>
                <w:color w:val="auto"/>
                <w:sz w:val="24"/>
                <w:szCs w:val="24"/>
              </w:rPr>
              <w:t>I</w:t>
            </w:r>
            <w:r w:rsidRPr="00A01085">
              <w:rPr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color w:val="auto"/>
                <w:sz w:val="24"/>
                <w:szCs w:val="24"/>
                <w:lang w:val="ru-RU"/>
              </w:rPr>
              <w:t xml:space="preserve">и </w:t>
            </w:r>
            <w:r w:rsidRPr="00A01085">
              <w:rPr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II</w:t>
            </w:r>
            <w:r>
              <w:rPr>
                <w:color w:val="auto"/>
                <w:sz w:val="24"/>
                <w:szCs w:val="24"/>
                <w:lang w:val="ru-RU"/>
              </w:rPr>
              <w:t xml:space="preserve"> группы здоровья от общего количества обучающихся и воспитанников-121%</w:t>
            </w:r>
          </w:p>
          <w:p w:rsidR="00DA2889" w:rsidRPr="00A01085" w:rsidRDefault="00DA2889" w:rsidP="0038695B">
            <w:pPr>
              <w:pStyle w:val="TableParagraph"/>
              <w:tabs>
                <w:tab w:val="left" w:pos="406"/>
              </w:tabs>
              <w:ind w:right="216"/>
              <w:rPr>
                <w:color w:val="auto"/>
                <w:sz w:val="24"/>
                <w:szCs w:val="24"/>
                <w:lang w:val="ru-RU"/>
              </w:rPr>
            </w:pPr>
          </w:p>
          <w:p w:rsidR="00DD5F0D" w:rsidRDefault="00DD5F0D" w:rsidP="0038695B">
            <w:pPr>
              <w:pStyle w:val="TableParagraph"/>
              <w:tabs>
                <w:tab w:val="left" w:pos="406"/>
              </w:tabs>
              <w:ind w:right="216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  <w:lang w:val="ru-RU"/>
              </w:rPr>
              <w:t xml:space="preserve">7.1 Увеличение доли </w:t>
            </w:r>
            <w:r w:rsidRPr="005F50BB">
              <w:rPr>
                <w:color w:val="auto"/>
                <w:sz w:val="24"/>
                <w:szCs w:val="24"/>
                <w:lang w:val="ru-RU"/>
              </w:rPr>
              <w:t xml:space="preserve"> обучающихся, участвующих в конкурсах, олимпиадах</w:t>
            </w:r>
            <w:r>
              <w:rPr>
                <w:color w:val="auto"/>
                <w:sz w:val="24"/>
                <w:szCs w:val="24"/>
                <w:lang w:val="ru-RU"/>
              </w:rPr>
              <w:t xml:space="preserve">  - 107</w:t>
            </w:r>
            <w:r w:rsidRPr="005F50BB">
              <w:rPr>
                <w:color w:val="auto"/>
                <w:sz w:val="24"/>
                <w:szCs w:val="24"/>
                <w:lang w:val="ru-RU"/>
              </w:rPr>
              <w:t>%</w:t>
            </w:r>
          </w:p>
          <w:p w:rsidR="00DA2889" w:rsidRPr="005F50BB" w:rsidRDefault="00DA2889" w:rsidP="0038695B">
            <w:pPr>
              <w:pStyle w:val="TableParagraph"/>
              <w:tabs>
                <w:tab w:val="left" w:pos="406"/>
              </w:tabs>
              <w:ind w:right="216"/>
              <w:rPr>
                <w:color w:val="auto"/>
                <w:sz w:val="24"/>
                <w:szCs w:val="24"/>
                <w:lang w:val="ru-RU"/>
              </w:rPr>
            </w:pPr>
          </w:p>
          <w:p w:rsidR="00DD5F0D" w:rsidRPr="00DC35C6" w:rsidRDefault="00DD5F0D" w:rsidP="0038695B">
            <w:pPr>
              <w:pStyle w:val="TableParagraph"/>
              <w:tabs>
                <w:tab w:val="left" w:pos="406"/>
              </w:tabs>
              <w:ind w:right="216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  <w:lang w:val="ru-RU"/>
              </w:rPr>
              <w:t xml:space="preserve">8.1 </w:t>
            </w:r>
            <w:r w:rsidRPr="005F50BB">
              <w:rPr>
                <w:color w:val="auto"/>
                <w:sz w:val="24"/>
                <w:szCs w:val="24"/>
                <w:lang w:val="ru-RU"/>
              </w:rPr>
              <w:t xml:space="preserve">Увеличение количества педагогических работников, участвующих в конкурсах педагогического мастерства – </w:t>
            </w:r>
            <w:r w:rsidRPr="00DC35C6">
              <w:rPr>
                <w:color w:val="000000" w:themeColor="text1"/>
                <w:sz w:val="24"/>
                <w:szCs w:val="24"/>
                <w:lang w:val="ru-RU"/>
              </w:rPr>
              <w:t>на  50% по отношению к 20</w:t>
            </w:r>
            <w:r w:rsidR="00DC35C6">
              <w:rPr>
                <w:color w:val="000000" w:themeColor="text1"/>
                <w:sz w:val="24"/>
                <w:szCs w:val="24"/>
                <w:lang w:val="ru-RU"/>
              </w:rPr>
              <w:t>20</w:t>
            </w:r>
            <w:r w:rsidRPr="00DC35C6">
              <w:rPr>
                <w:color w:val="000000" w:themeColor="text1"/>
                <w:sz w:val="24"/>
                <w:szCs w:val="24"/>
                <w:lang w:val="ru-RU"/>
              </w:rPr>
              <w:t xml:space="preserve"> году.</w:t>
            </w:r>
          </w:p>
          <w:p w:rsidR="00DD5F0D" w:rsidRPr="003C2A69" w:rsidRDefault="00DD5F0D" w:rsidP="0038695B">
            <w:pPr>
              <w:pStyle w:val="TableParagraph"/>
              <w:tabs>
                <w:tab w:val="left" w:pos="406"/>
              </w:tabs>
              <w:ind w:right="216"/>
              <w:jc w:val="both"/>
              <w:rPr>
                <w:color w:val="C00000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  <w:lang w:val="ru-RU"/>
              </w:rPr>
              <w:t>8.2 Д</w:t>
            </w:r>
            <w:r w:rsidRPr="00941FB1">
              <w:rPr>
                <w:color w:val="auto"/>
                <w:sz w:val="24"/>
                <w:szCs w:val="24"/>
                <w:lang w:val="ru-RU"/>
              </w:rPr>
              <w:t>оля педагогических работников образовательных организаций, проходящих повышение квалификации и (или) переподготовку по профилю педагогической деятельности не реже чем один раз в три года, в общем числе педагогических работников образовательных организаций составит 33,3</w:t>
            </w:r>
            <w:r>
              <w:rPr>
                <w:color w:val="auto"/>
                <w:sz w:val="24"/>
                <w:szCs w:val="24"/>
                <w:lang w:val="ru-RU"/>
              </w:rPr>
              <w:t xml:space="preserve"> %.</w:t>
            </w:r>
          </w:p>
        </w:tc>
      </w:tr>
      <w:tr w:rsidR="00DD5F0D" w:rsidTr="00DA2889">
        <w:trPr>
          <w:trHeight w:val="926"/>
        </w:trPr>
        <w:tc>
          <w:tcPr>
            <w:tcW w:w="3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5F0D" w:rsidRPr="00DA2889" w:rsidRDefault="00DD5F0D" w:rsidP="0038695B">
            <w:pPr>
              <w:pStyle w:val="TableParagraph"/>
              <w:ind w:right="882"/>
              <w:rPr>
                <w:lang w:val="ru-RU"/>
              </w:rPr>
            </w:pPr>
            <w:r>
              <w:rPr>
                <w:b/>
                <w:bCs/>
                <w:lang w:val="ru-RU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5F0D" w:rsidRPr="00302CFA" w:rsidRDefault="00DD5F0D" w:rsidP="0038695B">
            <w:pPr>
              <w:pStyle w:val="TableParagraph"/>
              <w:ind w:right="218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Срок  реализации:  202</w:t>
            </w:r>
            <w:r w:rsidR="00DC35C6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>-202</w:t>
            </w:r>
            <w:r w:rsidR="00DC35C6"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  <w:lang w:val="ru-RU"/>
              </w:rPr>
              <w:t xml:space="preserve"> годы.</w:t>
            </w:r>
          </w:p>
          <w:p w:rsidR="00DD5F0D" w:rsidRPr="00302CFA" w:rsidRDefault="00DD5F0D" w:rsidP="0038695B">
            <w:pPr>
              <w:pStyle w:val="TableParagraph"/>
              <w:ind w:left="33" w:right="218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Реализация муниципальной программы будет осуществляться без выделения этапов.</w:t>
            </w:r>
          </w:p>
        </w:tc>
      </w:tr>
      <w:tr w:rsidR="00DD5F0D" w:rsidTr="0038695B">
        <w:tc>
          <w:tcPr>
            <w:tcW w:w="3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D5F0D" w:rsidRPr="00302CFA" w:rsidRDefault="00DD5F0D" w:rsidP="0038695B">
            <w:pPr>
              <w:pStyle w:val="TableParagraph"/>
              <w:ind w:right="150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Финансовое обеспечение муниципальной программы с указанием источников</w:t>
            </w:r>
          </w:p>
        </w:tc>
        <w:tc>
          <w:tcPr>
            <w:tcW w:w="7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5F0D" w:rsidRDefault="00DD5F0D" w:rsidP="00DA2889">
            <w:pPr>
              <w:pStyle w:val="TableParagraph"/>
              <w:ind w:right="16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Общий объем бюджетных ассигнований на реализацию муниципальной программы за счет всех источников финансирования составляет   по</w:t>
            </w:r>
            <w:r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годам:</w:t>
            </w:r>
          </w:p>
          <w:p w:rsidR="00DD5F0D" w:rsidRPr="0077224A" w:rsidRDefault="00DD5F0D" w:rsidP="00DA2889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2021 – </w:t>
            </w:r>
            <w:r w:rsidR="0038695B" w:rsidRPr="009C2F12">
              <w:rPr>
                <w:color w:val="000000" w:themeColor="text1"/>
                <w:sz w:val="24"/>
                <w:szCs w:val="24"/>
                <w:lang w:val="ru-RU"/>
              </w:rPr>
              <w:t>3</w:t>
            </w:r>
            <w:r w:rsidR="009C2F12" w:rsidRPr="009C2F12">
              <w:rPr>
                <w:color w:val="000000" w:themeColor="text1"/>
                <w:sz w:val="24"/>
                <w:szCs w:val="24"/>
                <w:lang w:val="ru-RU"/>
              </w:rPr>
              <w:t>09 526,246</w:t>
            </w:r>
            <w:r w:rsidRPr="009C2F12">
              <w:rPr>
                <w:color w:val="000000" w:themeColor="text1"/>
                <w:sz w:val="24"/>
                <w:szCs w:val="24"/>
                <w:lang w:val="ru-RU"/>
              </w:rPr>
              <w:t xml:space="preserve"> тыс.</w:t>
            </w:r>
            <w:r w:rsidR="00660E14" w:rsidRPr="009C2F12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руб.;   </w:t>
            </w:r>
          </w:p>
          <w:p w:rsidR="00DD5F0D" w:rsidRPr="00752760" w:rsidRDefault="00DD5F0D" w:rsidP="00DA2889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2022 –  </w:t>
            </w:r>
            <w:r w:rsidR="00BB0DE5">
              <w:rPr>
                <w:sz w:val="24"/>
                <w:szCs w:val="24"/>
                <w:lang w:val="ru-RU"/>
              </w:rPr>
              <w:t>3</w:t>
            </w:r>
            <w:r w:rsidR="005623E6">
              <w:rPr>
                <w:sz w:val="24"/>
                <w:szCs w:val="24"/>
                <w:lang w:val="ru-RU"/>
              </w:rPr>
              <w:t>52 714,125</w:t>
            </w:r>
            <w:r>
              <w:rPr>
                <w:sz w:val="24"/>
                <w:szCs w:val="24"/>
                <w:lang w:val="ru-RU"/>
              </w:rPr>
              <w:t xml:space="preserve"> тыс.</w:t>
            </w:r>
            <w:r w:rsidR="00660E1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руб.;  </w:t>
            </w:r>
          </w:p>
          <w:p w:rsidR="00DD5F0D" w:rsidRDefault="00DD5F0D" w:rsidP="00DA2889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2023 – </w:t>
            </w:r>
            <w:r w:rsidR="00BB0DE5">
              <w:rPr>
                <w:sz w:val="24"/>
                <w:szCs w:val="24"/>
                <w:lang w:val="ru-RU"/>
              </w:rPr>
              <w:t>3</w:t>
            </w:r>
            <w:r w:rsidR="005623E6">
              <w:rPr>
                <w:sz w:val="24"/>
                <w:szCs w:val="24"/>
                <w:lang w:val="ru-RU"/>
              </w:rPr>
              <w:t>25 832,103</w:t>
            </w:r>
            <w:r w:rsidR="00BB0DE5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тыс.</w:t>
            </w:r>
            <w:r w:rsidR="00660E1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руб.;</w:t>
            </w:r>
          </w:p>
          <w:p w:rsidR="00DD5F0D" w:rsidRDefault="00DD5F0D" w:rsidP="00DA2889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2024 – </w:t>
            </w:r>
            <w:r w:rsidR="005623E6">
              <w:rPr>
                <w:sz w:val="24"/>
                <w:szCs w:val="24"/>
                <w:lang w:val="ru-RU"/>
              </w:rPr>
              <w:t>291 834,740</w:t>
            </w:r>
            <w:r>
              <w:rPr>
                <w:sz w:val="24"/>
                <w:szCs w:val="24"/>
                <w:lang w:val="ru-RU"/>
              </w:rPr>
              <w:t xml:space="preserve"> тыс.</w:t>
            </w:r>
            <w:r w:rsidR="00660E1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руб.</w:t>
            </w:r>
            <w:r w:rsidR="00DC35C6">
              <w:rPr>
                <w:sz w:val="24"/>
                <w:szCs w:val="24"/>
                <w:lang w:val="ru-RU"/>
              </w:rPr>
              <w:t>;</w:t>
            </w:r>
          </w:p>
          <w:p w:rsidR="00DC35C6" w:rsidRPr="00302CFA" w:rsidRDefault="00DC35C6" w:rsidP="00DC35C6">
            <w:pPr>
              <w:pStyle w:val="TableParagraph"/>
              <w:ind w:right="160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2025 – </w:t>
            </w:r>
            <w:r w:rsidR="00BB0DE5">
              <w:rPr>
                <w:sz w:val="24"/>
                <w:szCs w:val="24"/>
                <w:lang w:val="ru-RU"/>
              </w:rPr>
              <w:t>31</w:t>
            </w:r>
            <w:r w:rsidR="005623E6">
              <w:rPr>
                <w:sz w:val="24"/>
                <w:szCs w:val="24"/>
                <w:lang w:val="ru-RU"/>
              </w:rPr>
              <w:t>7 185,740</w:t>
            </w:r>
            <w:r w:rsidR="00BB0DE5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тыс. руб.</w:t>
            </w:r>
          </w:p>
          <w:p w:rsidR="00DD5F0D" w:rsidRPr="00275AAD" w:rsidRDefault="00DD5F0D" w:rsidP="00DA2889">
            <w:pPr>
              <w:pStyle w:val="TableParagraph"/>
              <w:jc w:val="both"/>
              <w:rPr>
                <w:lang w:val="ru-RU"/>
              </w:rPr>
            </w:pPr>
          </w:p>
          <w:p w:rsidR="00DD5F0D" w:rsidRDefault="00DD5F0D" w:rsidP="00DA2889">
            <w:pPr>
              <w:pStyle w:val="TableParagraph"/>
              <w:ind w:right="159"/>
              <w:rPr>
                <w:color w:val="auto"/>
                <w:sz w:val="24"/>
                <w:szCs w:val="24"/>
                <w:lang w:val="ru-RU"/>
              </w:rPr>
            </w:pPr>
            <w:r w:rsidRPr="00F25747">
              <w:rPr>
                <w:color w:val="auto"/>
                <w:sz w:val="24"/>
                <w:szCs w:val="24"/>
                <w:lang w:val="ru-RU"/>
              </w:rPr>
              <w:t>Объем финансового обеспечения муниципальной программы за счет местного бюджета составит по годам:</w:t>
            </w:r>
          </w:p>
          <w:p w:rsidR="00DD5F0D" w:rsidRPr="009C2F12" w:rsidRDefault="00DD5F0D" w:rsidP="00DA2889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  <w:r w:rsidRPr="00F25747">
              <w:rPr>
                <w:sz w:val="24"/>
                <w:szCs w:val="24"/>
                <w:lang w:val="ru-RU"/>
              </w:rPr>
              <w:t xml:space="preserve">2021 – </w:t>
            </w:r>
            <w:r w:rsidR="00DA2889" w:rsidRPr="009C2F12">
              <w:rPr>
                <w:color w:val="000000" w:themeColor="text1"/>
                <w:sz w:val="24"/>
                <w:szCs w:val="24"/>
                <w:lang w:val="ru-RU"/>
              </w:rPr>
              <w:t>1</w:t>
            </w:r>
            <w:r w:rsidR="009C2F12" w:rsidRPr="009C2F12">
              <w:rPr>
                <w:color w:val="000000" w:themeColor="text1"/>
                <w:sz w:val="24"/>
                <w:szCs w:val="24"/>
                <w:lang w:val="ru-RU"/>
              </w:rPr>
              <w:t>26</w:t>
            </w:r>
            <w:r w:rsidR="00434B18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9C2F12" w:rsidRPr="009C2F12">
              <w:rPr>
                <w:color w:val="000000" w:themeColor="text1"/>
                <w:sz w:val="24"/>
                <w:szCs w:val="24"/>
                <w:lang w:val="ru-RU"/>
              </w:rPr>
              <w:t> 532,969</w:t>
            </w:r>
            <w:r w:rsidRPr="009C2F12">
              <w:rPr>
                <w:color w:val="000000" w:themeColor="text1"/>
                <w:sz w:val="24"/>
                <w:szCs w:val="24"/>
                <w:lang w:val="ru-RU"/>
              </w:rPr>
              <w:t xml:space="preserve"> тыс.</w:t>
            </w:r>
            <w:r w:rsidR="00660E14" w:rsidRPr="009C2F12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C2F12">
              <w:rPr>
                <w:color w:val="000000" w:themeColor="text1"/>
                <w:sz w:val="24"/>
                <w:szCs w:val="24"/>
                <w:lang w:val="ru-RU"/>
              </w:rPr>
              <w:t>руб.;</w:t>
            </w:r>
          </w:p>
          <w:p w:rsidR="00DD5F0D" w:rsidRPr="009C2F12" w:rsidRDefault="00DD5F0D" w:rsidP="00DA2889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  <w:r w:rsidRPr="009C2F12">
              <w:rPr>
                <w:color w:val="000000" w:themeColor="text1"/>
                <w:sz w:val="24"/>
                <w:szCs w:val="24"/>
                <w:lang w:val="ru-RU"/>
              </w:rPr>
              <w:t>2022 – 1</w:t>
            </w:r>
            <w:r w:rsidR="00AD334C" w:rsidRPr="009C2F12">
              <w:rPr>
                <w:color w:val="000000" w:themeColor="text1"/>
                <w:sz w:val="24"/>
                <w:szCs w:val="24"/>
                <w:lang w:val="ru-RU"/>
              </w:rPr>
              <w:t>3</w:t>
            </w:r>
            <w:r w:rsidR="00D00C62" w:rsidRPr="009C2F12">
              <w:rPr>
                <w:color w:val="000000" w:themeColor="text1"/>
                <w:sz w:val="24"/>
                <w:szCs w:val="24"/>
                <w:lang w:val="ru-RU"/>
              </w:rPr>
              <w:t>6</w:t>
            </w:r>
            <w:r w:rsidR="00434B18">
              <w:rPr>
                <w:color w:val="000000" w:themeColor="text1"/>
                <w:sz w:val="24"/>
                <w:szCs w:val="24"/>
                <w:lang w:val="ru-RU"/>
              </w:rPr>
              <w:t xml:space="preserve">  </w:t>
            </w:r>
            <w:r w:rsidR="00D00C62" w:rsidRPr="009C2F12">
              <w:rPr>
                <w:color w:val="000000" w:themeColor="text1"/>
                <w:sz w:val="24"/>
                <w:szCs w:val="24"/>
                <w:lang w:val="ru-RU"/>
              </w:rPr>
              <w:t>9</w:t>
            </w:r>
            <w:r w:rsidR="00434B18">
              <w:rPr>
                <w:color w:val="000000" w:themeColor="text1"/>
                <w:sz w:val="24"/>
                <w:szCs w:val="24"/>
                <w:lang w:val="ru-RU"/>
              </w:rPr>
              <w:t>43,992</w:t>
            </w:r>
            <w:r w:rsidRPr="009C2F12">
              <w:rPr>
                <w:color w:val="000000" w:themeColor="text1"/>
                <w:sz w:val="24"/>
                <w:szCs w:val="24"/>
                <w:lang w:val="ru-RU"/>
              </w:rPr>
              <w:t xml:space="preserve"> тыс.</w:t>
            </w:r>
            <w:r w:rsidR="00660E14" w:rsidRPr="009C2F12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C2F12">
              <w:rPr>
                <w:color w:val="000000" w:themeColor="text1"/>
                <w:sz w:val="24"/>
                <w:szCs w:val="24"/>
                <w:lang w:val="ru-RU"/>
              </w:rPr>
              <w:t>руб.;</w:t>
            </w:r>
          </w:p>
          <w:p w:rsidR="00DD5F0D" w:rsidRPr="009C2F12" w:rsidRDefault="00DD5F0D" w:rsidP="00DA2889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  <w:r w:rsidRPr="009C2F12">
              <w:rPr>
                <w:color w:val="000000" w:themeColor="text1"/>
                <w:sz w:val="24"/>
                <w:szCs w:val="24"/>
                <w:lang w:val="ru-RU"/>
              </w:rPr>
              <w:t xml:space="preserve">2023 – </w:t>
            </w:r>
            <w:r w:rsidR="005A330D" w:rsidRPr="009C2F12">
              <w:rPr>
                <w:color w:val="000000" w:themeColor="text1"/>
                <w:sz w:val="24"/>
                <w:szCs w:val="24"/>
                <w:lang w:val="ru-RU"/>
              </w:rPr>
              <w:t>13</w:t>
            </w:r>
            <w:r w:rsidR="001477FF">
              <w:rPr>
                <w:color w:val="000000" w:themeColor="text1"/>
                <w:sz w:val="24"/>
                <w:szCs w:val="24"/>
                <w:lang w:val="ru-RU"/>
              </w:rPr>
              <w:t>4 905,903</w:t>
            </w:r>
            <w:r w:rsidRPr="009C2F12">
              <w:rPr>
                <w:color w:val="000000" w:themeColor="text1"/>
                <w:sz w:val="24"/>
                <w:szCs w:val="24"/>
                <w:lang w:val="ru-RU"/>
              </w:rPr>
              <w:t xml:space="preserve">  тыс.</w:t>
            </w:r>
            <w:r w:rsidR="00660E14" w:rsidRPr="009C2F12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C2F12">
              <w:rPr>
                <w:color w:val="000000" w:themeColor="text1"/>
                <w:sz w:val="24"/>
                <w:szCs w:val="24"/>
                <w:lang w:val="ru-RU"/>
              </w:rPr>
              <w:t>руб.;</w:t>
            </w:r>
          </w:p>
          <w:p w:rsidR="00DD5F0D" w:rsidRPr="009C2F12" w:rsidRDefault="00DD5F0D" w:rsidP="00DA2889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  <w:r w:rsidRPr="009C2F12">
              <w:rPr>
                <w:color w:val="000000" w:themeColor="text1"/>
                <w:sz w:val="24"/>
                <w:szCs w:val="24"/>
                <w:lang w:val="ru-RU"/>
              </w:rPr>
              <w:t xml:space="preserve">2024 </w:t>
            </w:r>
            <w:r w:rsidR="005A330D" w:rsidRPr="009C2F12">
              <w:rPr>
                <w:color w:val="000000" w:themeColor="text1"/>
                <w:sz w:val="24"/>
                <w:szCs w:val="24"/>
                <w:lang w:val="ru-RU"/>
              </w:rPr>
              <w:t>–</w:t>
            </w:r>
            <w:r w:rsidRPr="009C2F12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5A330D" w:rsidRPr="009C2F12">
              <w:rPr>
                <w:color w:val="000000" w:themeColor="text1"/>
                <w:sz w:val="24"/>
                <w:szCs w:val="24"/>
                <w:lang w:val="ru-RU"/>
              </w:rPr>
              <w:t>13</w:t>
            </w:r>
            <w:r w:rsidR="001477FF">
              <w:rPr>
                <w:color w:val="000000" w:themeColor="text1"/>
                <w:sz w:val="24"/>
                <w:szCs w:val="24"/>
                <w:lang w:val="ru-RU"/>
              </w:rPr>
              <w:t>0 860,140</w:t>
            </w:r>
            <w:r w:rsidRPr="009C2F12">
              <w:rPr>
                <w:color w:val="000000" w:themeColor="text1"/>
                <w:sz w:val="24"/>
                <w:szCs w:val="24"/>
                <w:lang w:val="ru-RU"/>
              </w:rPr>
              <w:t xml:space="preserve"> тыс.</w:t>
            </w:r>
            <w:r w:rsidR="00660E14" w:rsidRPr="009C2F12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C2F12">
              <w:rPr>
                <w:color w:val="000000" w:themeColor="text1"/>
                <w:sz w:val="24"/>
                <w:szCs w:val="24"/>
                <w:lang w:val="ru-RU"/>
              </w:rPr>
              <w:t>руб.;</w:t>
            </w:r>
          </w:p>
          <w:p w:rsidR="00DC35C6" w:rsidRPr="009C2F12" w:rsidRDefault="00DC35C6" w:rsidP="00DC35C6">
            <w:pPr>
              <w:pStyle w:val="TableParagraph"/>
              <w:ind w:right="160"/>
              <w:jc w:val="both"/>
              <w:rPr>
                <w:color w:val="000000" w:themeColor="text1"/>
                <w:lang w:val="ru-RU"/>
              </w:rPr>
            </w:pPr>
            <w:r w:rsidRPr="009C2F12">
              <w:rPr>
                <w:color w:val="000000" w:themeColor="text1"/>
                <w:sz w:val="24"/>
                <w:szCs w:val="24"/>
                <w:lang w:val="ru-RU"/>
              </w:rPr>
              <w:t xml:space="preserve">2025 – </w:t>
            </w:r>
            <w:r w:rsidR="00491AEE" w:rsidRPr="009C2F12">
              <w:rPr>
                <w:color w:val="000000" w:themeColor="text1"/>
                <w:sz w:val="24"/>
                <w:szCs w:val="24"/>
                <w:lang w:val="ru-RU"/>
              </w:rPr>
              <w:t>13</w:t>
            </w:r>
            <w:r w:rsidR="001477FF">
              <w:rPr>
                <w:color w:val="000000" w:themeColor="text1"/>
                <w:sz w:val="24"/>
                <w:szCs w:val="24"/>
                <w:lang w:val="ru-RU"/>
              </w:rPr>
              <w:t>0 147,140</w:t>
            </w:r>
            <w:r w:rsidR="00491AEE" w:rsidRPr="009C2F12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C2F12">
              <w:rPr>
                <w:color w:val="000000" w:themeColor="text1"/>
                <w:sz w:val="24"/>
                <w:szCs w:val="24"/>
                <w:lang w:val="ru-RU"/>
              </w:rPr>
              <w:t>тыс. руб.</w:t>
            </w:r>
          </w:p>
          <w:p w:rsidR="00DA2889" w:rsidRPr="009C2F12" w:rsidRDefault="00DA2889" w:rsidP="00DA2889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</w:p>
          <w:p w:rsidR="00DD5F0D" w:rsidRPr="009C2F12" w:rsidRDefault="00DD5F0D" w:rsidP="00DA2889">
            <w:pPr>
              <w:pStyle w:val="TableParagraph"/>
              <w:ind w:right="218"/>
              <w:rPr>
                <w:color w:val="000000" w:themeColor="text1"/>
                <w:sz w:val="24"/>
                <w:szCs w:val="24"/>
                <w:lang w:val="ru-RU"/>
              </w:rPr>
            </w:pPr>
            <w:r w:rsidRPr="009C2F12">
              <w:rPr>
                <w:color w:val="000000" w:themeColor="text1"/>
                <w:sz w:val="24"/>
                <w:szCs w:val="24"/>
                <w:lang w:val="ru-RU"/>
              </w:rPr>
              <w:t>В том числе объем финансового обеспечения муниципальной программой за счет прочих безвозмездных поступлений по годам:</w:t>
            </w:r>
          </w:p>
          <w:p w:rsidR="00DD5F0D" w:rsidRPr="009C2F12" w:rsidRDefault="00DD5F0D" w:rsidP="00DA2889">
            <w:pPr>
              <w:pStyle w:val="TableParagraph"/>
              <w:ind w:right="218"/>
              <w:rPr>
                <w:color w:val="000000" w:themeColor="text1"/>
                <w:lang w:val="ru-RU"/>
              </w:rPr>
            </w:pPr>
            <w:r w:rsidRPr="009C2F12">
              <w:rPr>
                <w:color w:val="000000" w:themeColor="text1"/>
                <w:sz w:val="24"/>
                <w:szCs w:val="24"/>
                <w:lang w:val="ru-RU"/>
              </w:rPr>
              <w:t xml:space="preserve">2021 </w:t>
            </w:r>
            <w:r w:rsidR="00DA2889" w:rsidRPr="009C2F12">
              <w:rPr>
                <w:color w:val="000000" w:themeColor="text1"/>
                <w:sz w:val="24"/>
                <w:szCs w:val="24"/>
                <w:lang w:val="ru-RU"/>
              </w:rPr>
              <w:t>–  18</w:t>
            </w:r>
            <w:r w:rsidR="009C2F12" w:rsidRPr="009C2F12">
              <w:rPr>
                <w:color w:val="000000" w:themeColor="text1"/>
                <w:sz w:val="24"/>
                <w:szCs w:val="24"/>
                <w:lang w:val="ru-RU"/>
              </w:rPr>
              <w:t>2 993,277</w:t>
            </w:r>
            <w:r w:rsidRPr="009C2F12">
              <w:rPr>
                <w:color w:val="000000" w:themeColor="text1"/>
                <w:sz w:val="24"/>
                <w:szCs w:val="24"/>
                <w:lang w:val="ru-RU"/>
              </w:rPr>
              <w:t xml:space="preserve">  тыс.</w:t>
            </w:r>
            <w:r w:rsidR="00660E14" w:rsidRPr="009C2F12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C2F12">
              <w:rPr>
                <w:color w:val="000000" w:themeColor="text1"/>
                <w:sz w:val="24"/>
                <w:szCs w:val="24"/>
                <w:lang w:val="ru-RU"/>
              </w:rPr>
              <w:t>руб.;</w:t>
            </w:r>
          </w:p>
          <w:p w:rsidR="00DD5F0D" w:rsidRPr="00302CFA" w:rsidRDefault="005A330D" w:rsidP="00DA2889">
            <w:pPr>
              <w:pStyle w:val="TableParagraph"/>
              <w:rPr>
                <w:lang w:val="ru-RU"/>
              </w:rPr>
            </w:pPr>
            <w:r w:rsidRPr="009C2F12">
              <w:rPr>
                <w:color w:val="000000" w:themeColor="text1"/>
                <w:sz w:val="24"/>
                <w:szCs w:val="24"/>
                <w:lang w:val="ru-RU"/>
              </w:rPr>
              <w:t>2022</w:t>
            </w:r>
            <w:r w:rsidR="00DF19A5" w:rsidRPr="009C2F12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D5F0D" w:rsidRPr="009C2F12">
              <w:rPr>
                <w:color w:val="000000" w:themeColor="text1"/>
                <w:sz w:val="24"/>
                <w:szCs w:val="24"/>
                <w:lang w:val="ru-RU"/>
              </w:rPr>
              <w:t xml:space="preserve">–  </w:t>
            </w:r>
            <w:r w:rsidR="00D00C62" w:rsidRPr="009C2F12">
              <w:rPr>
                <w:color w:val="000000" w:themeColor="text1"/>
                <w:sz w:val="24"/>
                <w:szCs w:val="24"/>
                <w:lang w:val="ru-RU"/>
              </w:rPr>
              <w:t>21</w:t>
            </w:r>
            <w:r w:rsidR="001C1902">
              <w:rPr>
                <w:color w:val="000000" w:themeColor="text1"/>
                <w:sz w:val="24"/>
                <w:szCs w:val="24"/>
                <w:lang w:val="ru-RU"/>
              </w:rPr>
              <w:t xml:space="preserve">5 770,133 </w:t>
            </w:r>
            <w:r w:rsidR="00DD5F0D" w:rsidRPr="009C2F12">
              <w:rPr>
                <w:color w:val="000000" w:themeColor="text1"/>
                <w:sz w:val="24"/>
                <w:szCs w:val="24"/>
                <w:lang w:val="ru-RU"/>
              </w:rPr>
              <w:t xml:space="preserve"> тыс.</w:t>
            </w:r>
            <w:r w:rsidR="00660E14" w:rsidRPr="009C2F12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D5F0D" w:rsidRPr="009C2F12">
              <w:rPr>
                <w:color w:val="000000" w:themeColor="text1"/>
                <w:sz w:val="24"/>
                <w:szCs w:val="24"/>
                <w:lang w:val="ru-RU"/>
              </w:rPr>
              <w:t>руб.;</w:t>
            </w:r>
          </w:p>
          <w:p w:rsidR="00DD5F0D" w:rsidRPr="006C2DC2" w:rsidRDefault="00DF19A5" w:rsidP="00DA2889">
            <w:pPr>
              <w:pStyle w:val="TableParagrap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2023 –  </w:t>
            </w:r>
            <w:r w:rsidR="005A330D">
              <w:rPr>
                <w:sz w:val="24"/>
                <w:szCs w:val="24"/>
                <w:lang w:val="ru-RU"/>
              </w:rPr>
              <w:t>1</w:t>
            </w:r>
            <w:r w:rsidR="001C1902">
              <w:rPr>
                <w:sz w:val="24"/>
                <w:szCs w:val="24"/>
                <w:lang w:val="ru-RU"/>
              </w:rPr>
              <w:t>9</w:t>
            </w:r>
            <w:r w:rsidR="005A330D">
              <w:rPr>
                <w:sz w:val="24"/>
                <w:szCs w:val="24"/>
                <w:lang w:val="ru-RU"/>
              </w:rPr>
              <w:t>0</w:t>
            </w:r>
            <w:r w:rsidR="001C1902">
              <w:rPr>
                <w:sz w:val="24"/>
                <w:szCs w:val="24"/>
                <w:lang w:val="ru-RU"/>
              </w:rPr>
              <w:t> 926,200</w:t>
            </w:r>
            <w:r w:rsidR="00DD5F0D">
              <w:rPr>
                <w:sz w:val="24"/>
                <w:szCs w:val="24"/>
                <w:lang w:val="ru-RU"/>
              </w:rPr>
              <w:t xml:space="preserve">  тыс.</w:t>
            </w:r>
            <w:r w:rsidR="00660E14">
              <w:rPr>
                <w:sz w:val="24"/>
                <w:szCs w:val="24"/>
                <w:lang w:val="ru-RU"/>
              </w:rPr>
              <w:t xml:space="preserve"> </w:t>
            </w:r>
            <w:r w:rsidR="00DD5F0D">
              <w:rPr>
                <w:sz w:val="24"/>
                <w:szCs w:val="24"/>
                <w:lang w:val="ru-RU"/>
              </w:rPr>
              <w:t>руб.;</w:t>
            </w:r>
          </w:p>
          <w:p w:rsidR="00DD5F0D" w:rsidRDefault="00DD5F0D" w:rsidP="00DF19A5">
            <w:pPr>
              <w:pStyle w:val="TableParagraph"/>
              <w:ind w:right="21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2024 </w:t>
            </w:r>
            <w:r w:rsidR="005A330D">
              <w:rPr>
                <w:sz w:val="24"/>
                <w:szCs w:val="24"/>
                <w:lang w:val="ru-RU"/>
              </w:rPr>
              <w:t>–</w:t>
            </w:r>
            <w:r>
              <w:rPr>
                <w:sz w:val="24"/>
                <w:szCs w:val="24"/>
                <w:lang w:val="ru-RU"/>
              </w:rPr>
              <w:t xml:space="preserve">  </w:t>
            </w:r>
            <w:r w:rsidR="005A330D">
              <w:rPr>
                <w:sz w:val="24"/>
                <w:szCs w:val="24"/>
                <w:lang w:val="ru-RU"/>
              </w:rPr>
              <w:t>1</w:t>
            </w:r>
            <w:r w:rsidR="001C1902">
              <w:rPr>
                <w:sz w:val="24"/>
                <w:szCs w:val="24"/>
                <w:lang w:val="ru-RU"/>
              </w:rPr>
              <w:t>6</w:t>
            </w:r>
            <w:r w:rsidR="005A330D">
              <w:rPr>
                <w:sz w:val="24"/>
                <w:szCs w:val="24"/>
                <w:lang w:val="ru-RU"/>
              </w:rPr>
              <w:t>0</w:t>
            </w:r>
            <w:r w:rsidR="001C1902">
              <w:rPr>
                <w:sz w:val="24"/>
                <w:szCs w:val="24"/>
                <w:lang w:val="ru-RU"/>
              </w:rPr>
              <w:t> 974,600</w:t>
            </w:r>
            <w:r>
              <w:rPr>
                <w:sz w:val="24"/>
                <w:szCs w:val="24"/>
                <w:lang w:val="ru-RU"/>
              </w:rPr>
              <w:t xml:space="preserve">  тыс.</w:t>
            </w:r>
            <w:r w:rsidR="00660E1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руб.;</w:t>
            </w:r>
          </w:p>
          <w:p w:rsidR="00DC35C6" w:rsidRPr="00B1731A" w:rsidRDefault="00DC35C6" w:rsidP="001C1902">
            <w:pPr>
              <w:pStyle w:val="TableParagraph"/>
              <w:ind w:right="160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2025 – </w:t>
            </w:r>
            <w:r w:rsidR="00491AEE">
              <w:rPr>
                <w:sz w:val="24"/>
                <w:szCs w:val="24"/>
                <w:lang w:val="ru-RU"/>
              </w:rPr>
              <w:t>1</w:t>
            </w:r>
            <w:r w:rsidR="001C1902">
              <w:rPr>
                <w:sz w:val="24"/>
                <w:szCs w:val="24"/>
                <w:lang w:val="ru-RU"/>
              </w:rPr>
              <w:t>87 038,600</w:t>
            </w:r>
            <w:bookmarkStart w:id="0" w:name="_GoBack"/>
            <w:bookmarkEnd w:id="0"/>
            <w:r w:rsidR="00491AEE">
              <w:rPr>
                <w:sz w:val="24"/>
                <w:szCs w:val="24"/>
                <w:lang w:val="ru-RU"/>
              </w:rPr>
              <w:t xml:space="preserve">  </w:t>
            </w:r>
            <w:r>
              <w:rPr>
                <w:sz w:val="24"/>
                <w:szCs w:val="24"/>
                <w:lang w:val="ru-RU"/>
              </w:rPr>
              <w:t>тыс. руб.</w:t>
            </w:r>
          </w:p>
        </w:tc>
      </w:tr>
    </w:tbl>
    <w:p w:rsidR="00233FE0" w:rsidRDefault="00233FE0"/>
    <w:sectPr w:rsidR="00233FE0" w:rsidSect="00DD5F0D">
      <w:pgSz w:w="11906" w:h="16838" w:code="9"/>
      <w:pgMar w:top="907" w:right="851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66728"/>
    <w:multiLevelType w:val="multilevel"/>
    <w:tmpl w:val="4C746F4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50A873F9"/>
    <w:multiLevelType w:val="multilevel"/>
    <w:tmpl w:val="EEBEB3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74F0644B"/>
    <w:multiLevelType w:val="multilevel"/>
    <w:tmpl w:val="AAE6EE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76C93CE7"/>
    <w:multiLevelType w:val="multilevel"/>
    <w:tmpl w:val="7DD844E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0D"/>
    <w:rsid w:val="001477FF"/>
    <w:rsid w:val="001C1902"/>
    <w:rsid w:val="00233FE0"/>
    <w:rsid w:val="0038695B"/>
    <w:rsid w:val="00434B18"/>
    <w:rsid w:val="00491AEE"/>
    <w:rsid w:val="005623E6"/>
    <w:rsid w:val="005A330D"/>
    <w:rsid w:val="00660E14"/>
    <w:rsid w:val="009C2F12"/>
    <w:rsid w:val="00AD334C"/>
    <w:rsid w:val="00BB0DE5"/>
    <w:rsid w:val="00D00C62"/>
    <w:rsid w:val="00D058B0"/>
    <w:rsid w:val="00D35A8A"/>
    <w:rsid w:val="00DA2889"/>
    <w:rsid w:val="00DC35C6"/>
    <w:rsid w:val="00DD5F0D"/>
    <w:rsid w:val="00DF19A5"/>
    <w:rsid w:val="00F54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F0D"/>
    <w:pPr>
      <w:suppressAutoHyphens/>
    </w:pPr>
    <w:rPr>
      <w:rFonts w:ascii="Calibri" w:eastAsia="Calibri" w:hAnsi="Calibri" w:cs="Calibri"/>
      <w:color w:val="00000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DD5F0D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F0D"/>
    <w:pPr>
      <w:suppressAutoHyphens/>
    </w:pPr>
    <w:rPr>
      <w:rFonts w:ascii="Calibri" w:eastAsia="Calibri" w:hAnsi="Calibri" w:cs="Calibri"/>
      <w:color w:val="00000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DD5F0D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0921D-F445-4829-BEB9-FC60935D6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1407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</cp:revision>
  <dcterms:created xsi:type="dcterms:W3CDTF">2021-10-27T17:16:00Z</dcterms:created>
  <dcterms:modified xsi:type="dcterms:W3CDTF">2022-11-14T12:31:00Z</dcterms:modified>
</cp:coreProperties>
</file>