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78D0" w:rsidRDefault="00C378D0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РЕСПУБЛИКА КАРЕЛИЯ</w:t>
      </w:r>
    </w:p>
    <w:p w:rsidR="00C378D0" w:rsidRDefault="00C378D0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АДМИНИСТРАЦИЯ ЛАХДЕНПОХСКОГО МУНИЦИПАЛЬНОГО РАЙОНА</w:t>
      </w:r>
    </w:p>
    <w:p w:rsidR="00C378D0" w:rsidRDefault="00C378D0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</w:p>
    <w:p w:rsidR="00C378D0" w:rsidRDefault="00C378D0">
      <w:pPr>
        <w:pStyle w:val="NoSpacing"/>
        <w:jc w:val="right"/>
        <w:rPr>
          <w:rFonts w:ascii="Times New Roman" w:hAnsi="Times New Roman" w:cs="Times New Roman"/>
          <w:sz w:val="24"/>
          <w:szCs w:val="24"/>
        </w:rPr>
      </w:pPr>
    </w:p>
    <w:p w:rsidR="00C378D0" w:rsidRDefault="00C378D0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ПОСТАНОВЛЕНИЕ</w:t>
      </w:r>
    </w:p>
    <w:p w:rsidR="00C378D0" w:rsidRDefault="00C378D0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</w:p>
    <w:p w:rsidR="00C378D0" w:rsidRDefault="00C378D0">
      <w:pPr>
        <w:pStyle w:val="NoSpacing"/>
      </w:pPr>
      <w:r>
        <w:rPr>
          <w:rFonts w:ascii="Times New Roman" w:hAnsi="Times New Roman" w:cs="Times New Roman"/>
          <w:sz w:val="24"/>
          <w:szCs w:val="24"/>
        </w:rPr>
        <w:t>____  мая  2019 г.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№</w:t>
      </w:r>
    </w:p>
    <w:p w:rsidR="00C378D0" w:rsidRDefault="00C378D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г. Лахденпохья</w:t>
      </w:r>
    </w:p>
    <w:p w:rsidR="00C378D0" w:rsidRDefault="00C378D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C378D0" w:rsidRDefault="00C378D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C378D0" w:rsidRDefault="00C378D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C378D0" w:rsidRDefault="00C378D0">
      <w:pPr>
        <w:pStyle w:val="NoSpacing"/>
      </w:pPr>
      <w:r>
        <w:rPr>
          <w:rFonts w:ascii="Times New Roman" w:hAnsi="Times New Roman" w:cs="Times New Roman"/>
          <w:sz w:val="24"/>
          <w:szCs w:val="24"/>
        </w:rPr>
        <w:t>Об     утверждении      муниципальной      программы</w:t>
      </w:r>
    </w:p>
    <w:p w:rsidR="00C378D0" w:rsidRDefault="00C378D0">
      <w:pPr>
        <w:pStyle w:val="NoSpacing"/>
      </w:pPr>
      <w:r>
        <w:rPr>
          <w:rFonts w:ascii="Times New Roman" w:hAnsi="Times New Roman" w:cs="Times New Roman"/>
          <w:sz w:val="24"/>
          <w:szCs w:val="24"/>
        </w:rPr>
        <w:t xml:space="preserve">«Повышение   безопасности    дорожного   движения  </w:t>
      </w:r>
    </w:p>
    <w:p w:rsidR="00C378D0" w:rsidRDefault="00C378D0">
      <w:pPr>
        <w:pStyle w:val="NoSpacing"/>
      </w:pPr>
      <w:r>
        <w:rPr>
          <w:rFonts w:ascii="Times New Roman" w:hAnsi="Times New Roman" w:cs="Times New Roman"/>
          <w:sz w:val="24"/>
          <w:szCs w:val="24"/>
        </w:rPr>
        <w:t xml:space="preserve">Лахденпохского    муниципального     района» </w:t>
      </w:r>
    </w:p>
    <w:p w:rsidR="00C378D0" w:rsidRDefault="00C378D0">
      <w:pPr>
        <w:pStyle w:val="NoSpacing"/>
      </w:pPr>
      <w:bookmarkStart w:id="0" w:name="__DdeLink__4037_3489653423"/>
      <w:r>
        <w:rPr>
          <w:rFonts w:ascii="Times New Roman" w:hAnsi="Times New Roman" w:cs="Times New Roman"/>
          <w:sz w:val="24"/>
          <w:szCs w:val="24"/>
        </w:rPr>
        <w:t>на 2019-2023 годы</w:t>
      </w:r>
      <w:bookmarkEnd w:id="0"/>
    </w:p>
    <w:p w:rsidR="00C378D0" w:rsidRDefault="00C378D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C378D0" w:rsidRDefault="00C378D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C378D0" w:rsidRDefault="00C378D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C378D0" w:rsidRDefault="00C378D0">
      <w:pPr>
        <w:pStyle w:val="NoSpacing"/>
        <w:ind w:firstLine="360"/>
        <w:jc w:val="both"/>
      </w:pPr>
      <w:r>
        <w:rPr>
          <w:rFonts w:ascii="Times New Roman" w:hAnsi="Times New Roman" w:cs="Times New Roman"/>
          <w:sz w:val="24"/>
          <w:szCs w:val="24"/>
        </w:rPr>
        <w:t>В соответствии с Федеральным законом № 131-ФЗ от 06.10.2003 года «Об общих принципах организации местного самоуправления в Российской Федерации»,</w:t>
      </w:r>
      <w:r>
        <w:t xml:space="preserve"> </w:t>
      </w:r>
      <w:r>
        <w:rPr>
          <w:rFonts w:ascii="Times New Roman" w:hAnsi="Times New Roman" w:cs="Times New Roman"/>
          <w:sz w:val="24"/>
          <w:szCs w:val="24"/>
        </w:rPr>
        <w:t>Постановлением Администрации Лахденпохского муниципального района от 30 июля 2014 г. №1441 «О порядке разработки, реализации и оценке эффективности муниципальных программ Лахденпохского муниципального района»,  Постановлением Администрации Лахденпохского муниципального района от 31 мая  2018 г. № 252 «Об утверждении перечня муниципальных программ Лахденпохского муниципального района» и в целях организации социальной поддержки населению,  Администрация Лахденпохского муниципального района ПОСТАНОВЛЯЕТ:</w:t>
      </w:r>
    </w:p>
    <w:p w:rsidR="00C378D0" w:rsidRDefault="00C378D0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C378D0" w:rsidRDefault="00C378D0">
      <w:pPr>
        <w:pStyle w:val="NoSpacing"/>
        <w:ind w:left="57" w:hanging="57"/>
        <w:jc w:val="both"/>
      </w:pPr>
      <w:r>
        <w:rPr>
          <w:rFonts w:ascii="Times New Roman" w:hAnsi="Times New Roman" w:cs="Times New Roman"/>
          <w:sz w:val="24"/>
          <w:szCs w:val="24"/>
        </w:rPr>
        <w:t>1. Утвердить прилагаемую муниципальную  программу «Повышение   безопасности    дорожного   движения  Лахденпохского    муниципального     района» на 2019-2023 годы.</w:t>
      </w:r>
    </w:p>
    <w:p w:rsidR="00C378D0" w:rsidRDefault="00C378D0">
      <w:pPr>
        <w:pStyle w:val="NoSpacing"/>
        <w:jc w:val="both"/>
      </w:pPr>
      <w:r>
        <w:rPr>
          <w:rFonts w:ascii="Times New Roman" w:hAnsi="Times New Roman" w:cs="Times New Roman"/>
          <w:sz w:val="24"/>
          <w:szCs w:val="24"/>
        </w:rPr>
        <w:t>2. Отделу бюджета и межбюджетных отношений Администрации Лахденпохского муниципального района обеспечить отражение в бюджете Лахденпохского муниципального района денежных средств на реализацию муниципальной  программы «Повышение   безопасности    дорожного   движения  Лахденпохского    муниципального     района» на 2019-2023 годы.</w:t>
      </w:r>
    </w:p>
    <w:p w:rsidR="00C378D0" w:rsidRDefault="00C378D0">
      <w:pPr>
        <w:pStyle w:val="NoSpacing"/>
        <w:jc w:val="both"/>
      </w:pPr>
      <w:r>
        <w:rPr>
          <w:rFonts w:ascii="Times New Roman" w:hAnsi="Times New Roman" w:cs="Times New Roman"/>
          <w:sz w:val="24"/>
          <w:szCs w:val="24"/>
        </w:rPr>
        <w:t>3. Отделу мобилизационной работы, территориальной безопасности. ГО и ЧС Администрации Лахденпохского муниципального района:</w:t>
      </w:r>
    </w:p>
    <w:p w:rsidR="00C378D0" w:rsidRDefault="00C378D0">
      <w:pPr>
        <w:pStyle w:val="NoSpacing"/>
        <w:jc w:val="both"/>
      </w:pPr>
      <w:r>
        <w:rPr>
          <w:rFonts w:ascii="Times New Roman" w:hAnsi="Times New Roman" w:cs="Times New Roman"/>
          <w:sz w:val="24"/>
          <w:szCs w:val="24"/>
        </w:rPr>
        <w:t>3.1 Обеспечить порядок и условия реализации муниципальной  программы «Повышение безопасности дорожного движения  Лахденпохского муниципального района» на 2019-2023 годы.</w:t>
      </w:r>
    </w:p>
    <w:p w:rsidR="00C378D0" w:rsidRDefault="00C378D0">
      <w:pPr>
        <w:pStyle w:val="NoSpacing"/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3.2Разместить муниципальную  программу «Повышение безопасности дорожного движения  в Лахденпохском муниципальном районе» на 2019-2023 годы на официальном сайте Администрации Лахденпохского муниципального района: </w:t>
      </w:r>
      <w:r>
        <w:rPr>
          <w:rFonts w:ascii="Times New Roman" w:hAnsi="Times New Roman" w:cs="Times New Roman"/>
          <w:sz w:val="24"/>
          <w:szCs w:val="24"/>
          <w:u w:val="single"/>
        </w:rPr>
        <w:t>«</w:t>
      </w: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wwwLahden</w:t>
      </w:r>
      <w:r>
        <w:rPr>
          <w:rFonts w:ascii="Times New Roman" w:hAnsi="Times New Roman" w:cs="Times New Roman"/>
          <w:sz w:val="24"/>
          <w:szCs w:val="24"/>
          <w:u w:val="single"/>
        </w:rPr>
        <w:t>–</w:t>
      </w: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mr</w:t>
      </w:r>
      <w:r>
        <w:rPr>
          <w:rFonts w:ascii="Times New Roman" w:hAnsi="Times New Roman" w:cs="Times New Roman"/>
          <w:sz w:val="24"/>
          <w:szCs w:val="24"/>
          <w:u w:val="single"/>
        </w:rPr>
        <w:t>.</w:t>
      </w: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ru</w:t>
      </w:r>
      <w:r>
        <w:rPr>
          <w:rFonts w:ascii="Times New Roman" w:hAnsi="Times New Roman" w:cs="Times New Roman"/>
          <w:sz w:val="24"/>
          <w:szCs w:val="24"/>
          <w:u w:val="single"/>
        </w:rPr>
        <w:t>».</w:t>
      </w:r>
    </w:p>
    <w:p w:rsidR="00C378D0" w:rsidRDefault="00C378D0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C378D0" w:rsidRDefault="00C378D0">
      <w:pPr>
        <w:pStyle w:val="NoSpacing"/>
        <w:jc w:val="both"/>
      </w:pPr>
      <w:r>
        <w:rPr>
          <w:rFonts w:ascii="Times New Roman" w:hAnsi="Times New Roman" w:cs="Times New Roman"/>
          <w:sz w:val="24"/>
          <w:szCs w:val="24"/>
        </w:rPr>
        <w:t>4.Контроль за исполнением настоящего постановления оставляю за собой.</w:t>
      </w:r>
    </w:p>
    <w:p w:rsidR="00C378D0" w:rsidRDefault="00C378D0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C378D0" w:rsidRDefault="00C378D0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C378D0" w:rsidRDefault="00C378D0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Глава Администрации</w:t>
      </w:r>
    </w:p>
    <w:p w:rsidR="00C378D0" w:rsidRDefault="00C378D0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Лахденпохского муниципального района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                В.М. Пинигин</w:t>
      </w:r>
    </w:p>
    <w:p w:rsidR="00C378D0" w:rsidRDefault="00C378D0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C378D0" w:rsidRDefault="00C378D0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C378D0" w:rsidRDefault="00C378D0" w:rsidP="002368DF">
      <w:pPr>
        <w:pStyle w:val="ConsPlusNormal"/>
        <w:ind w:left="-283"/>
        <w:jc w:val="center"/>
        <w:rPr>
          <w:rFonts w:ascii="Times New Roman" w:hAnsi="Times New Roman" w:cs="Times New Roman"/>
          <w:sz w:val="28"/>
          <w:szCs w:val="28"/>
        </w:rPr>
      </w:pPr>
    </w:p>
    <w:p w:rsidR="00C378D0" w:rsidRDefault="00C378D0" w:rsidP="002368DF">
      <w:pPr>
        <w:pStyle w:val="ConsPlusNormal"/>
        <w:ind w:left="-28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ПАСПОРТ        </w:t>
      </w:r>
    </w:p>
    <w:p w:rsidR="00C378D0" w:rsidRDefault="00C378D0" w:rsidP="002368DF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муниципальной программы  </w:t>
      </w:r>
    </w:p>
    <w:p w:rsidR="00C378D0" w:rsidRDefault="00C378D0" w:rsidP="002368DF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C378D0" w:rsidRDefault="00C378D0" w:rsidP="002368DF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«Повышение безопасности дорожного движения Лахденпохского муниципального района»</w:t>
      </w:r>
    </w:p>
    <w:p w:rsidR="00C378D0" w:rsidRDefault="00C378D0" w:rsidP="002368DF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на 2019 -2023 годы</w:t>
      </w:r>
    </w:p>
    <w:p w:rsidR="00C378D0" w:rsidRDefault="00C378D0" w:rsidP="002368DF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811" w:type="dxa"/>
        <w:tblInd w:w="-6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457"/>
        <w:gridCol w:w="7354"/>
      </w:tblGrid>
      <w:tr w:rsidR="00C378D0">
        <w:tc>
          <w:tcPr>
            <w:tcW w:w="2457" w:type="dxa"/>
          </w:tcPr>
          <w:p w:rsidR="00C378D0" w:rsidRDefault="00C378D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Основание для разработки муниципальной программы</w:t>
            </w:r>
          </w:p>
        </w:tc>
        <w:tc>
          <w:tcPr>
            <w:tcW w:w="7353" w:type="dxa"/>
          </w:tcPr>
          <w:p w:rsidR="00C378D0" w:rsidRDefault="00C378D0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Федеральным законом от 06 октября 2003 года № 131-ФЗ "Об общих принципах организации местного самоуправления в Российской Федерации";</w:t>
            </w:r>
          </w:p>
          <w:p w:rsidR="00C378D0" w:rsidRDefault="00C378D0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-Постановление Администрации Лахденпохского муниципального района от 30 июля 2014 г. №1441 «О порядке разработки, реализации и оценке эффективности муниципальных программ Лахденпохского муниципального района»;</w:t>
            </w:r>
          </w:p>
          <w:p w:rsidR="00C378D0" w:rsidRDefault="00C378D0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-Постановлением Администрации Лахденпохского муниципального района от 31 мая  2018 г. № 252 «Об утверждении перечня муниципальных программ Лахденпохского муниципального района»</w:t>
            </w:r>
          </w:p>
          <w:p w:rsidR="00C378D0" w:rsidRDefault="00C378D0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Распоряжение Правительства РК от 29.12.2018г № 900-р-П «Стратегия социально-экономического развития Республики Карелия на период до 2030г.»</w:t>
            </w:r>
          </w:p>
          <w:p w:rsidR="00C378D0" w:rsidRDefault="00C378D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78D0">
        <w:tc>
          <w:tcPr>
            <w:tcW w:w="2457" w:type="dxa"/>
          </w:tcPr>
          <w:p w:rsidR="00C378D0" w:rsidRDefault="00C378D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 муниципальной программы</w:t>
            </w:r>
          </w:p>
        </w:tc>
        <w:tc>
          <w:tcPr>
            <w:tcW w:w="7353" w:type="dxa"/>
          </w:tcPr>
          <w:p w:rsidR="00C378D0" w:rsidRDefault="00C378D0">
            <w:pPr>
              <w:pStyle w:val="ConsPlusNormal"/>
              <w:rPr>
                <w:rFonts w:cs="Times New Roman"/>
              </w:rPr>
            </w:pPr>
            <w:bookmarkStart w:id="1" w:name="__DdeLink__615_2326317955"/>
            <w:r>
              <w:rPr>
                <w:rFonts w:ascii="Times New Roman" w:hAnsi="Times New Roman" w:cs="Times New Roman"/>
                <w:sz w:val="24"/>
                <w:szCs w:val="24"/>
              </w:rPr>
              <w:t>Отдел мобилизационной работы, территориальной безопасности, ГО и ЧС</w:t>
            </w:r>
            <w:bookmarkEnd w:id="1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(далее ОМР, ГО и ЧС)</w:t>
            </w:r>
          </w:p>
        </w:tc>
      </w:tr>
      <w:tr w:rsidR="00C378D0">
        <w:tc>
          <w:tcPr>
            <w:tcW w:w="2457" w:type="dxa"/>
          </w:tcPr>
          <w:p w:rsidR="00C378D0" w:rsidRDefault="00C378D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Соисполнители муниципальной программы</w:t>
            </w:r>
          </w:p>
        </w:tc>
        <w:tc>
          <w:tcPr>
            <w:tcW w:w="7353" w:type="dxa"/>
          </w:tcPr>
          <w:p w:rsidR="00C378D0" w:rsidRDefault="00C378D0">
            <w:pPr>
              <w:suppressAutoHyphens/>
              <w:ind w:left="1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ОГИБДД ОМВД Лахденпохского района </w:t>
            </w:r>
          </w:p>
          <w:p w:rsidR="00C378D0" w:rsidRDefault="00C378D0">
            <w:pPr>
              <w:suppressAutoHyphens/>
              <w:ind w:left="12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 «РУО и ДМ»</w:t>
            </w:r>
          </w:p>
          <w:p w:rsidR="00C378D0" w:rsidRDefault="00C378D0">
            <w:pPr>
              <w:suppressAutoHyphens/>
              <w:ind w:left="1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C378D0">
        <w:tc>
          <w:tcPr>
            <w:tcW w:w="2457" w:type="dxa"/>
          </w:tcPr>
          <w:p w:rsidR="00C378D0" w:rsidRDefault="00C378D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Участники программы</w:t>
            </w:r>
          </w:p>
        </w:tc>
        <w:tc>
          <w:tcPr>
            <w:tcW w:w="7353" w:type="dxa"/>
          </w:tcPr>
          <w:p w:rsidR="00C378D0" w:rsidRDefault="00C378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Граждане, проживающие на территории Лахденпохского муниципального района</w:t>
            </w:r>
          </w:p>
        </w:tc>
      </w:tr>
      <w:tr w:rsidR="00C378D0">
        <w:tc>
          <w:tcPr>
            <w:tcW w:w="2457" w:type="dxa"/>
          </w:tcPr>
          <w:p w:rsidR="00C378D0" w:rsidRDefault="00C378D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Подпрограммы муниципальной программы</w:t>
            </w:r>
          </w:p>
        </w:tc>
        <w:tc>
          <w:tcPr>
            <w:tcW w:w="7353" w:type="dxa"/>
          </w:tcPr>
          <w:p w:rsidR="00C378D0" w:rsidRDefault="00C378D0">
            <w:pPr>
              <w:ind w:firstLine="8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Подпрограммы отсутствуют</w:t>
            </w:r>
          </w:p>
          <w:p w:rsidR="00C378D0" w:rsidRDefault="00C378D0">
            <w:pPr>
              <w:pStyle w:val="ConsPlusNormal"/>
              <w:ind w:firstLine="3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78D0">
        <w:tc>
          <w:tcPr>
            <w:tcW w:w="2457" w:type="dxa"/>
          </w:tcPr>
          <w:p w:rsidR="00C378D0" w:rsidRDefault="00C378D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Цель муниципальной программы</w:t>
            </w:r>
          </w:p>
        </w:tc>
        <w:tc>
          <w:tcPr>
            <w:tcW w:w="7353" w:type="dxa"/>
          </w:tcPr>
          <w:p w:rsidR="00C378D0" w:rsidRDefault="00C378D0">
            <w:pPr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Создание в Лахденпохском районе условий для снижения количества дорожно-транспортных происшествий, сокращение числа лиц, погибших в результате дорожно-транспортных происшествий.</w:t>
            </w:r>
          </w:p>
        </w:tc>
      </w:tr>
      <w:tr w:rsidR="00C378D0">
        <w:tc>
          <w:tcPr>
            <w:tcW w:w="2457" w:type="dxa"/>
          </w:tcPr>
          <w:p w:rsidR="00C378D0" w:rsidRDefault="00C378D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Задачи муниципальной программы</w:t>
            </w:r>
          </w:p>
        </w:tc>
        <w:tc>
          <w:tcPr>
            <w:tcW w:w="7353" w:type="dxa"/>
          </w:tcPr>
          <w:p w:rsidR="00C378D0" w:rsidRDefault="00C378D0">
            <w:pPr>
              <w:jc w:val="both"/>
              <w:outlineLvl w:val="2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1)  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Внедрение принципов нулевой терпимости к ДТП в Лахденпохском районе</w:t>
            </w:r>
          </w:p>
          <w:p w:rsidR="00C378D0" w:rsidRDefault="00C378D0">
            <w:pPr>
              <w:jc w:val="both"/>
              <w:outlineLvl w:val="2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2) Формирование у детей и подростков знаний, умений и навыков своевременной и адекватной оценки дорожной ситуации, безопасного поведения на дорогах, стереотипов законопослушного поведения; </w:t>
            </w:r>
          </w:p>
          <w:p w:rsidR="00C378D0" w:rsidRDefault="00C378D0">
            <w:pPr>
              <w:jc w:val="both"/>
              <w:outlineLvl w:val="2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3) Совершенствование организации движения транспорта и пешеходов на территории Лахденпохского муниципального района; 4) Своевременное выявление, ликвидация и профилактика возникновения опасных участков (концентрации аварийности) на автомобильных дорогах общего пользования в Лахденпохском районе </w:t>
            </w:r>
          </w:p>
          <w:p w:rsidR="00C378D0" w:rsidRDefault="00C378D0">
            <w:pPr>
              <w:tabs>
                <w:tab w:val="left" w:pos="-109"/>
              </w:tabs>
              <w:spacing w:before="100"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78D0">
        <w:tc>
          <w:tcPr>
            <w:tcW w:w="2457" w:type="dxa"/>
          </w:tcPr>
          <w:p w:rsidR="00C378D0" w:rsidRDefault="00C378D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Целевые индикаторы муниципальной программы</w:t>
            </w:r>
          </w:p>
        </w:tc>
        <w:tc>
          <w:tcPr>
            <w:tcW w:w="7353" w:type="dxa"/>
          </w:tcPr>
          <w:p w:rsidR="00C378D0" w:rsidRDefault="00C378D0">
            <w:pPr>
              <w:widowControl w:val="0"/>
              <w:tabs>
                <w:tab w:val="left" w:pos="900"/>
              </w:tabs>
              <w:spacing w:after="0" w:line="240" w:lineRule="auto"/>
              <w:ind w:firstLine="567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 Количество ДТП в Лахденпохском районе</w:t>
            </w:r>
          </w:p>
          <w:p w:rsidR="00C378D0" w:rsidRDefault="00C378D0">
            <w:pPr>
              <w:widowControl w:val="0"/>
              <w:tabs>
                <w:tab w:val="left" w:pos="900"/>
              </w:tabs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78D0" w:rsidRDefault="00C378D0">
            <w:pPr>
              <w:widowControl w:val="0"/>
              <w:tabs>
                <w:tab w:val="left" w:pos="900"/>
              </w:tabs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78D0">
        <w:tc>
          <w:tcPr>
            <w:tcW w:w="2457" w:type="dxa"/>
          </w:tcPr>
          <w:p w:rsidR="00C378D0" w:rsidRDefault="00C378D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Конечные результаты программы</w:t>
            </w:r>
          </w:p>
        </w:tc>
        <w:tc>
          <w:tcPr>
            <w:tcW w:w="7353" w:type="dxa"/>
          </w:tcPr>
          <w:p w:rsidR="00C378D0" w:rsidRDefault="00C378D0">
            <w:pPr>
              <w:widowControl w:val="0"/>
              <w:tabs>
                <w:tab w:val="left" w:pos="900"/>
              </w:tabs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Снижение количества ДТП в Лахденпохском районе к уровню 2018г. на 12,4%</w:t>
            </w:r>
          </w:p>
        </w:tc>
      </w:tr>
      <w:tr w:rsidR="00C378D0">
        <w:tc>
          <w:tcPr>
            <w:tcW w:w="2457" w:type="dxa"/>
          </w:tcPr>
          <w:p w:rsidR="00C378D0" w:rsidRDefault="00C378D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Показатели результатов муниципальной программы</w:t>
            </w:r>
          </w:p>
        </w:tc>
        <w:tc>
          <w:tcPr>
            <w:tcW w:w="7353" w:type="dxa"/>
          </w:tcPr>
          <w:p w:rsidR="00C378D0" w:rsidRDefault="00C378D0">
            <w:pPr>
              <w:pStyle w:val="ConsPlusCell"/>
              <w:spacing w:before="28" w:after="280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 Доля  количества ДТП</w:t>
            </w:r>
          </w:p>
          <w:p w:rsidR="00C378D0" w:rsidRDefault="00C378D0">
            <w:pPr>
              <w:pStyle w:val="ConsPlusCell"/>
              <w:spacing w:before="28" w:after="280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Доля количества нарушений правил дорожного движения (ПДД);</w:t>
            </w:r>
          </w:p>
          <w:p w:rsidR="00C378D0" w:rsidRDefault="00C378D0">
            <w:pPr>
              <w:pStyle w:val="ConsPlusCell"/>
              <w:spacing w:before="28" w:after="280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 Количество информационно-пропагандистких мероприятий по профилактике ДТП.</w:t>
            </w:r>
          </w:p>
          <w:p w:rsidR="00C378D0" w:rsidRDefault="00C378D0">
            <w:pPr>
              <w:pStyle w:val="ConsPlusCell"/>
              <w:spacing w:before="28" w:after="280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 Количество размещенных материалов в СМИ;</w:t>
            </w:r>
          </w:p>
          <w:p w:rsidR="00C378D0" w:rsidRDefault="00C378D0">
            <w:pPr>
              <w:pStyle w:val="ConsPlusCell"/>
              <w:spacing w:before="28" w:after="280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 Количество проведенных комиссий по БДД;</w:t>
            </w:r>
          </w:p>
          <w:p w:rsidR="00C378D0" w:rsidRDefault="00C378D0">
            <w:pPr>
              <w:pStyle w:val="ConsPlusCell"/>
              <w:spacing w:before="28" w:after="280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 Количество проведенных мероприятий с детьми;</w:t>
            </w:r>
          </w:p>
          <w:p w:rsidR="00C378D0" w:rsidRDefault="00C378D0">
            <w:pPr>
              <w:pStyle w:val="ConsPlusCell"/>
              <w:spacing w:before="28" w:after="280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 Количество участников профилактических мероприятий с детьми (детей).</w:t>
            </w:r>
          </w:p>
          <w:p w:rsidR="00C378D0" w:rsidRDefault="00C378D0">
            <w:pPr>
              <w:pStyle w:val="ConsPlusCell"/>
              <w:spacing w:before="28" w:after="280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 Количество установленных средств дополнительного привлечения внимания (баннеры, предупреждающие знаки);</w:t>
            </w:r>
          </w:p>
          <w:p w:rsidR="00C378D0" w:rsidRDefault="00C378D0">
            <w:pPr>
              <w:pStyle w:val="ConsPlusCell"/>
              <w:spacing w:before="28" w:after="280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 Количество приведенных пешеходных переходов к требованиям безопасности дорожного движения;</w:t>
            </w:r>
          </w:p>
          <w:p w:rsidR="00C378D0" w:rsidRDefault="00C378D0">
            <w:pPr>
              <w:pStyle w:val="ConsPlusCell"/>
              <w:spacing w:before="28" w:after="280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 Уровень количества выданных предписаний на устранение выявленных недостатков эксплуатационного состояния дорожной сети;</w:t>
            </w:r>
          </w:p>
          <w:p w:rsidR="00C378D0" w:rsidRDefault="00C378D0">
            <w:pPr>
              <w:pStyle w:val="ConsPlusCell"/>
              <w:spacing w:before="28" w:after="280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  Уровень ликвидированных опасных участков дорожной сети от числа выявленных.</w:t>
            </w:r>
          </w:p>
        </w:tc>
      </w:tr>
      <w:tr w:rsidR="00C378D0">
        <w:trPr>
          <w:trHeight w:val="1323"/>
        </w:trPr>
        <w:tc>
          <w:tcPr>
            <w:tcW w:w="2457" w:type="dxa"/>
          </w:tcPr>
          <w:p w:rsidR="00C378D0" w:rsidRDefault="00C378D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Этапы и сроки реализации муниципальной программы</w:t>
            </w:r>
          </w:p>
        </w:tc>
        <w:tc>
          <w:tcPr>
            <w:tcW w:w="7353" w:type="dxa"/>
          </w:tcPr>
          <w:p w:rsidR="00C378D0" w:rsidRDefault="00C378D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Сроки реализации программы - 2019-2023 гг.</w:t>
            </w:r>
          </w:p>
          <w:p w:rsidR="00C378D0" w:rsidRDefault="00C378D0">
            <w:pPr>
              <w:pStyle w:val="ConsPlusNormal"/>
              <w:jc w:val="both"/>
              <w:rPr>
                <w:rFonts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Программа реализуется в один этап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C378D0">
        <w:tc>
          <w:tcPr>
            <w:tcW w:w="2457" w:type="dxa"/>
          </w:tcPr>
          <w:p w:rsidR="00C378D0" w:rsidRDefault="00C378D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Финансовое обеспечение муниципальной программы, в том числе подпрограмм с указанием источников, с разбивкой по этапам и годам реализации</w:t>
            </w:r>
          </w:p>
        </w:tc>
        <w:tc>
          <w:tcPr>
            <w:tcW w:w="7353" w:type="dxa"/>
          </w:tcPr>
          <w:p w:rsidR="00C378D0" w:rsidRDefault="00C378D0">
            <w:pPr>
              <w:pStyle w:val="ConsPlusNormal"/>
              <w:jc w:val="both"/>
              <w:rPr>
                <w:rFonts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Объем финансового обеспечения муниципальной программы составляет  </w:t>
            </w:r>
            <w:bookmarkStart w:id="2" w:name="__DdeLink__7027_3270839992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309 тыс. рублей  в том числе по годам:</w:t>
            </w:r>
          </w:p>
          <w:p w:rsidR="00C378D0" w:rsidRDefault="00C378D0">
            <w:pPr>
              <w:pStyle w:val="ConsPlusNormal"/>
              <w:jc w:val="both"/>
              <w:rPr>
                <w:rFonts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 год  - 0 тыс. рублей</w:t>
            </w:r>
          </w:p>
          <w:p w:rsidR="00C378D0" w:rsidRDefault="00C378D0">
            <w:pPr>
              <w:pStyle w:val="ConsPlusNormal"/>
              <w:jc w:val="both"/>
              <w:rPr>
                <w:rFonts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 год  -  53 тыс. рублей</w:t>
            </w:r>
          </w:p>
          <w:p w:rsidR="00C378D0" w:rsidRDefault="00C378D0">
            <w:pPr>
              <w:pStyle w:val="ConsPlusNormal"/>
              <w:jc w:val="both"/>
              <w:rPr>
                <w:rFonts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 год –  61 тыс. рублей</w:t>
            </w:r>
          </w:p>
          <w:p w:rsidR="00C378D0" w:rsidRDefault="00C378D0">
            <w:pPr>
              <w:pStyle w:val="ConsPlusNormal"/>
              <w:jc w:val="both"/>
              <w:rPr>
                <w:rFonts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 год -  113  тыс.рублей</w:t>
            </w:r>
          </w:p>
          <w:p w:rsidR="00C378D0" w:rsidRDefault="00C378D0">
            <w:pPr>
              <w:pStyle w:val="ConsPlusNormal"/>
              <w:jc w:val="both"/>
              <w:rPr>
                <w:rFonts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 год   - 82  тыс.рублей</w:t>
            </w:r>
            <w:bookmarkEnd w:id="2"/>
          </w:p>
          <w:p w:rsidR="00C378D0" w:rsidRDefault="00C378D0">
            <w:pPr>
              <w:pStyle w:val="ConsPlusNormal"/>
              <w:jc w:val="both"/>
              <w:rPr>
                <w:rFonts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Финансовое обеспечение муниципальной программы за счет средств бюджета Лахденпохского муниципального района составляет   309 тыс. рублей  в том числе по годам:</w:t>
            </w:r>
          </w:p>
          <w:p w:rsidR="00C378D0" w:rsidRDefault="00C378D0">
            <w:pPr>
              <w:pStyle w:val="ConsPlusNormal"/>
              <w:jc w:val="both"/>
              <w:rPr>
                <w:rFonts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 год  - 0 тыс. рублей</w:t>
            </w:r>
          </w:p>
          <w:p w:rsidR="00C378D0" w:rsidRDefault="00C378D0">
            <w:pPr>
              <w:pStyle w:val="ConsPlusNormal"/>
              <w:jc w:val="both"/>
              <w:rPr>
                <w:rFonts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 год  -  53 тыс. рублей</w:t>
            </w:r>
          </w:p>
          <w:p w:rsidR="00C378D0" w:rsidRDefault="00C378D0">
            <w:pPr>
              <w:pStyle w:val="ConsPlusNormal"/>
              <w:jc w:val="both"/>
              <w:rPr>
                <w:rFonts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 год –  61 тыс. рублей</w:t>
            </w:r>
          </w:p>
          <w:p w:rsidR="00C378D0" w:rsidRDefault="00C378D0">
            <w:pPr>
              <w:pStyle w:val="ConsPlusNormal"/>
              <w:jc w:val="both"/>
              <w:rPr>
                <w:rFonts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 год -  113  тыс.рублей</w:t>
            </w:r>
          </w:p>
          <w:p w:rsidR="00C378D0" w:rsidRDefault="00C378D0">
            <w:pPr>
              <w:pStyle w:val="ConsPlusNormal"/>
              <w:jc w:val="both"/>
              <w:rPr>
                <w:rFonts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 год   - 82  тыс.рублей.</w:t>
            </w:r>
          </w:p>
          <w:p w:rsidR="00C378D0" w:rsidRDefault="00C378D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78D0" w:rsidRDefault="00C378D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378D0" w:rsidRDefault="00C378D0" w:rsidP="002368DF">
      <w:pPr>
        <w:pStyle w:val="ConsPlusNormal"/>
        <w:jc w:val="center"/>
        <w:rPr>
          <w:rFonts w:cs="Times New Roman"/>
        </w:rPr>
      </w:pPr>
    </w:p>
    <w:p w:rsidR="00C378D0" w:rsidRDefault="00C378D0" w:rsidP="002368D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378D0" w:rsidRDefault="00C378D0" w:rsidP="002368D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378D0" w:rsidRDefault="00C378D0" w:rsidP="002368D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378D0" w:rsidRDefault="00C378D0" w:rsidP="002368D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378D0" w:rsidRDefault="00C378D0" w:rsidP="002368D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378D0" w:rsidRDefault="00C378D0" w:rsidP="002368D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378D0" w:rsidRDefault="00C378D0" w:rsidP="002368D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378D0" w:rsidRDefault="00C378D0" w:rsidP="002368D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РАЗДЕЛ 1.</w:t>
      </w:r>
    </w:p>
    <w:p w:rsidR="00C378D0" w:rsidRDefault="00C378D0" w:rsidP="002368D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Характеристика текущего состояния и проблем в области безопасности дорожного движения Лахденпохского муниципального района</w:t>
      </w:r>
    </w:p>
    <w:p w:rsidR="00C378D0" w:rsidRDefault="00C378D0" w:rsidP="002368D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378D0" w:rsidRDefault="00C378D0" w:rsidP="002368D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Проблема аварийности, связанная с автомобильным транспортом приобрела особую остроту в связи с несоответствием дорожно-транспортной инфраструктуры потребностям общества и государства в безопасном дорожном движении, недостаточной эффективностью функционирования системы обеспечения безопасности дорожного движения и крайне низкой дисциплиной участников дорожного движения. Увеличение парка транспортных средств при снижении объемов строительства, реконструкции и ремонта автомобильных дорог, недостаточном финансировании по содержанию автомобильных дорог привели к ухудшению условий движения. Обеспечение безопасности дорожного движения на улицах населенных пунктов и автомобильных дорогах района, предупреждение дорожнотранспортных происшествий (ДТП) и снижение тяжести их последствий является на сегодня одной из актуальных задач. </w:t>
      </w:r>
    </w:p>
    <w:p w:rsidR="00C378D0" w:rsidRDefault="00C378D0" w:rsidP="002368DF">
      <w:pPr>
        <w:spacing w:after="0" w:line="240" w:lineRule="auto"/>
        <w:jc w:val="both"/>
      </w:pPr>
      <w:r>
        <w:rPr>
          <w:rFonts w:ascii="Times New Roman" w:hAnsi="Times New Roman" w:cs="Times New Roman"/>
          <w:sz w:val="24"/>
          <w:szCs w:val="24"/>
        </w:rPr>
        <w:t>В Лахденпохском  районе за 2018 год на территории обслуживания ОГИБДД ОМВД России по Лахденпохскому району зарегистрировано 211 дорожно-транспортных происшествий (в 2017г 192), в которых 18 человек получили ранения (2017- 26),  погибло — 3 человека (2017-4).</w:t>
      </w:r>
    </w:p>
    <w:p w:rsidR="00C378D0" w:rsidRDefault="00C378D0" w:rsidP="002368DF">
      <w:pPr>
        <w:spacing w:after="0" w:line="240" w:lineRule="auto"/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Количество ДТП по сравнению с прошлым годом (2017)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увеличилось </w:t>
      </w:r>
      <w:r>
        <w:rPr>
          <w:rFonts w:ascii="Times New Roman" w:hAnsi="Times New Roman" w:cs="Times New Roman"/>
          <w:sz w:val="24"/>
          <w:szCs w:val="24"/>
        </w:rPr>
        <w:t xml:space="preserve">  на  9,8%, число раненых по сравнению с прошлым годом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снизилось </w:t>
      </w:r>
      <w:r>
        <w:rPr>
          <w:rFonts w:ascii="Times New Roman" w:hAnsi="Times New Roman" w:cs="Times New Roman"/>
          <w:sz w:val="24"/>
          <w:szCs w:val="24"/>
        </w:rPr>
        <w:t xml:space="preserve">на 30  %. </w:t>
      </w:r>
    </w:p>
    <w:p w:rsidR="00C378D0" w:rsidRDefault="00C378D0" w:rsidP="002368DF">
      <w:pPr>
        <w:spacing w:after="0" w:line="240" w:lineRule="auto"/>
        <w:jc w:val="both"/>
      </w:pPr>
      <w:r>
        <w:rPr>
          <w:rFonts w:ascii="Times New Roman" w:hAnsi="Times New Roman" w:cs="Times New Roman"/>
          <w:sz w:val="24"/>
          <w:szCs w:val="24"/>
        </w:rPr>
        <w:t>Детский травматизм при ДТП остался на прежнем уровне по сравнению с 2017 годом (с1до1).</w:t>
      </w:r>
    </w:p>
    <w:p w:rsidR="00C378D0" w:rsidRDefault="00C378D0" w:rsidP="002368D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378D0" w:rsidRDefault="00C378D0" w:rsidP="002368DF">
      <w:pPr>
        <w:spacing w:after="0" w:line="240" w:lineRule="auto"/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В ходе реализации дополнительных мероприятий, направленных на снижение аварийности, выявлено 6488 административных правонарушений в сфере обеспечения БДД (управление в нетрезвом состоянии- 66,  управление без прав — 79,  выезд на полосу встречного движения – 247 превышение скоростного режима – 2500, нарушения ПДД пешеходами – 253, и другие). </w:t>
      </w:r>
    </w:p>
    <w:p w:rsidR="00C378D0" w:rsidRDefault="00C378D0" w:rsidP="002368DF">
      <w:pPr>
        <w:spacing w:after="0" w:line="240" w:lineRule="auto"/>
        <w:jc w:val="both"/>
      </w:pPr>
      <w:r>
        <w:rPr>
          <w:rFonts w:ascii="Times New Roman" w:hAnsi="Times New Roman" w:cs="Times New Roman"/>
          <w:sz w:val="24"/>
          <w:szCs w:val="24"/>
        </w:rPr>
        <w:t>С целью снижения уровня детского дорожно-транспортного травматизма (ДДТТ) ОГИБДД ОМВД России по Лахденпохскому  району организовано регулярное посещение муниципальных образовательных учреждений, муниципальных дошкольных образовательных учреждений. В 2018 году проведено 85 информационно-пропагандистских  мероприятий. Информация о состоянии аварийности, причины совершения ДТП, статистика выявленных нарушений ПДД, информация профилактического 2015 2016 2017 ДТП с участием несовершеннолетним 1 2 3 характера, сведения о проводимых профилактических мероприятиях, сроках и результатах их проведения регулярно направляется для освещения населения в средства массовой информации: в печатные СМИ – 164, на интернет-сайтах-441.</w:t>
      </w:r>
    </w:p>
    <w:p w:rsidR="00C378D0" w:rsidRDefault="00C378D0" w:rsidP="002368D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378D0" w:rsidRDefault="00C378D0" w:rsidP="002368DF">
      <w:pPr>
        <w:spacing w:after="0" w:line="240" w:lineRule="auto"/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Профилактика детского дорожно-транспортного травматизма ежегодно проводится работа в соответствии с планами образовательных учреждений, с учетом сезонных изменений. В образовательных организациях Лахденпохского  муниципального района проводятся беседы и инструктажи с сотрудниками учреждений, детьми и родителями «О важности использования водителями детских удерживающих устройств и ремней безопасности». Организованы игры с детьми, чтение литературы на тему «Дорожная безопасность», памятки для родителей «О перевозке детей в транспорте». </w:t>
      </w:r>
    </w:p>
    <w:p w:rsidR="00C378D0" w:rsidRDefault="00C378D0" w:rsidP="002368D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378D0" w:rsidRDefault="00C378D0" w:rsidP="002368D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378D0" w:rsidRDefault="00C378D0" w:rsidP="002368D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378D0" w:rsidRDefault="00C378D0" w:rsidP="002368D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РАЗДЕЛ 2.</w:t>
      </w:r>
    </w:p>
    <w:p w:rsidR="00C378D0" w:rsidRDefault="00C378D0" w:rsidP="002368DF">
      <w:pPr>
        <w:spacing w:after="0" w:line="240" w:lineRule="auto"/>
        <w:jc w:val="center"/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Описание основных целей и задач муниципальной программы. </w:t>
      </w:r>
    </w:p>
    <w:p w:rsidR="00C378D0" w:rsidRDefault="00C378D0" w:rsidP="002368D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378D0" w:rsidRDefault="00C378D0" w:rsidP="002368D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Основной целью муниципальной программы «Повышение безопасности дорожного движения Лахденпохского муниципального района» (далее – Программа) является создание в районе условий для снижения количества дорожно-транспортных происшествий с пострадавшими, сокращение числа лиц, погибших в результате дорожно-транспортных происшествий. </w:t>
      </w:r>
    </w:p>
    <w:p w:rsidR="00C378D0" w:rsidRDefault="00C378D0" w:rsidP="002368D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Для достижения поставленной цели предусматривается решение следующих задач: </w:t>
      </w:r>
    </w:p>
    <w:p w:rsidR="00C378D0" w:rsidRDefault="00C378D0" w:rsidP="002368DF">
      <w:pPr>
        <w:jc w:val="both"/>
        <w:outlineLvl w:val="2"/>
      </w:pPr>
      <w:r>
        <w:rPr>
          <w:rFonts w:ascii="Times New Roman" w:hAnsi="Times New Roman" w:cs="Times New Roman"/>
          <w:sz w:val="24"/>
          <w:szCs w:val="24"/>
        </w:rPr>
        <w:t xml:space="preserve">1)  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Внедрение принципов нулевой терпимости к ДТП в Лахденпохском районе</w:t>
      </w:r>
      <w:r>
        <w:rPr>
          <w:rFonts w:ascii="Times New Roman" w:hAnsi="Times New Roman" w:cs="Times New Roman"/>
          <w:sz w:val="24"/>
          <w:szCs w:val="24"/>
        </w:rPr>
        <w:t xml:space="preserve">; </w:t>
      </w:r>
    </w:p>
    <w:p w:rsidR="00C378D0" w:rsidRDefault="00C378D0" w:rsidP="002368DF">
      <w:pPr>
        <w:jc w:val="both"/>
        <w:outlineLvl w:val="2"/>
      </w:pPr>
      <w:r>
        <w:rPr>
          <w:rFonts w:ascii="Times New Roman" w:hAnsi="Times New Roman" w:cs="Times New Roman"/>
          <w:sz w:val="24"/>
          <w:szCs w:val="24"/>
        </w:rPr>
        <w:t xml:space="preserve">2)  Формирование у детей и подростков знаний, умений и навыков своевременной и адекватной оценки дорожной ситуации, безопасного поведения на дорогах, стереотипов законопослушного поведения; </w:t>
      </w:r>
    </w:p>
    <w:p w:rsidR="00C378D0" w:rsidRDefault="00C378D0" w:rsidP="002368DF">
      <w:pPr>
        <w:spacing w:after="0" w:line="240" w:lineRule="auto"/>
        <w:jc w:val="both"/>
        <w:outlineLvl w:val="2"/>
      </w:pPr>
      <w:r>
        <w:rPr>
          <w:rFonts w:ascii="Times New Roman" w:hAnsi="Times New Roman" w:cs="Times New Roman"/>
          <w:sz w:val="24"/>
          <w:szCs w:val="24"/>
        </w:rPr>
        <w:t>3) Совершенствование организации движения транспорта и пешеходов на территории Лахденпохского муниципального района;</w:t>
      </w:r>
    </w:p>
    <w:p w:rsidR="00C378D0" w:rsidRDefault="00C378D0" w:rsidP="002368DF">
      <w:pPr>
        <w:spacing w:after="0" w:line="240" w:lineRule="auto"/>
        <w:jc w:val="both"/>
        <w:outlineLvl w:val="2"/>
      </w:pPr>
      <w:r>
        <w:rPr>
          <w:rFonts w:ascii="Times New Roman" w:hAnsi="Times New Roman" w:cs="Times New Roman"/>
          <w:sz w:val="24"/>
          <w:szCs w:val="24"/>
        </w:rPr>
        <w:t xml:space="preserve">4) Своевременное выявление, ликвидация и профилактика возникновения опасных участков (концентрации аварийности) на автомобильных дорогах общего пользования в Лахденпохском районе </w:t>
      </w:r>
    </w:p>
    <w:p w:rsidR="00C378D0" w:rsidRDefault="00C378D0" w:rsidP="002368D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378D0" w:rsidRDefault="00C378D0" w:rsidP="002368D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378D0" w:rsidRDefault="00C378D0" w:rsidP="002368D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378D0" w:rsidRDefault="00C378D0" w:rsidP="002368D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РАЗДЕЛ 3.</w:t>
      </w:r>
    </w:p>
    <w:p w:rsidR="00C378D0" w:rsidRDefault="00C378D0" w:rsidP="002368DF">
      <w:pPr>
        <w:spacing w:after="0" w:line="240" w:lineRule="auto"/>
        <w:jc w:val="center"/>
        <w:rPr>
          <w:b/>
          <w:bCs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Целевой индикатор и прогноз конечных результатов муниципальной программы.</w:t>
      </w:r>
    </w:p>
    <w:p w:rsidR="00C378D0" w:rsidRDefault="00C378D0" w:rsidP="002368DF">
      <w:pPr>
        <w:spacing w:after="0" w:line="240" w:lineRule="auto"/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Целевым показателем и  результатом Программы является: </w:t>
      </w:r>
    </w:p>
    <w:p w:rsidR="00C378D0" w:rsidRDefault="00C378D0" w:rsidP="002368DF">
      <w:pPr>
        <w:spacing w:after="0" w:line="240" w:lineRule="auto"/>
        <w:jc w:val="both"/>
      </w:pPr>
      <w:r>
        <w:rPr>
          <w:rFonts w:ascii="Times New Roman" w:hAnsi="Times New Roman" w:cs="Times New Roman"/>
          <w:sz w:val="24"/>
          <w:szCs w:val="24"/>
        </w:rPr>
        <w:t>1. Снижение количества ДТП в Лахденпохском районе к уровню 2018г. на 12,4%</w:t>
      </w:r>
    </w:p>
    <w:p w:rsidR="00C378D0" w:rsidRDefault="00C378D0" w:rsidP="002368D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378D0" w:rsidRDefault="00C378D0" w:rsidP="002368D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378D0" w:rsidRDefault="00C378D0" w:rsidP="002368D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Ожидаемые конечные результаты реализации Программы: </w:t>
      </w:r>
    </w:p>
    <w:p w:rsidR="00C378D0" w:rsidRDefault="00C378D0" w:rsidP="002368DF">
      <w:pPr>
        <w:pStyle w:val="ConsPlusCell"/>
        <w:spacing w:before="28" w:after="280"/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C378D0" w:rsidRDefault="00C378D0" w:rsidP="002368DF">
      <w:pPr>
        <w:pStyle w:val="ConsPlusCell"/>
        <w:spacing w:before="28" w:after="280"/>
        <w:jc w:val="both"/>
      </w:pPr>
      <w:r>
        <w:rPr>
          <w:rFonts w:ascii="Times New Roman" w:hAnsi="Times New Roman" w:cs="Times New Roman"/>
          <w:sz w:val="24"/>
          <w:szCs w:val="24"/>
        </w:rPr>
        <w:t>1. Доля  количества ДТП — снижение к уровню 2018г на 12.4%.</w:t>
      </w:r>
    </w:p>
    <w:p w:rsidR="00C378D0" w:rsidRDefault="00C378D0" w:rsidP="002368DF">
      <w:pPr>
        <w:pStyle w:val="ConsPlusCell"/>
        <w:spacing w:before="28" w:after="280"/>
        <w:jc w:val="both"/>
      </w:pPr>
      <w:r>
        <w:rPr>
          <w:rFonts w:ascii="Times New Roman" w:hAnsi="Times New Roman" w:cs="Times New Roman"/>
          <w:sz w:val="24"/>
          <w:szCs w:val="24"/>
        </w:rPr>
        <w:t>2. Доля количества нарушений правил дорожного движения (ПДД);</w:t>
      </w:r>
    </w:p>
    <w:p w:rsidR="00C378D0" w:rsidRDefault="00C378D0" w:rsidP="002368DF">
      <w:pPr>
        <w:pStyle w:val="ConsPlusCell"/>
        <w:spacing w:before="28" w:after="280"/>
        <w:jc w:val="both"/>
      </w:pPr>
      <w:r>
        <w:rPr>
          <w:rFonts w:ascii="Times New Roman" w:hAnsi="Times New Roman" w:cs="Times New Roman"/>
          <w:sz w:val="24"/>
          <w:szCs w:val="24"/>
        </w:rPr>
        <w:t>3. Количество информационно-пропагандистких мероприятий по профилактике ДТП.</w:t>
      </w:r>
    </w:p>
    <w:p w:rsidR="00C378D0" w:rsidRDefault="00C378D0" w:rsidP="002368DF">
      <w:pPr>
        <w:pStyle w:val="ConsPlusCell"/>
        <w:spacing w:before="28" w:after="280"/>
        <w:jc w:val="both"/>
      </w:pPr>
      <w:r>
        <w:rPr>
          <w:rFonts w:ascii="Times New Roman" w:hAnsi="Times New Roman" w:cs="Times New Roman"/>
          <w:sz w:val="24"/>
          <w:szCs w:val="24"/>
        </w:rPr>
        <w:t>4. Количество размещенных материалов в СМИ;</w:t>
      </w:r>
    </w:p>
    <w:p w:rsidR="00C378D0" w:rsidRDefault="00C378D0" w:rsidP="002368DF">
      <w:pPr>
        <w:pStyle w:val="ConsPlusCell"/>
        <w:spacing w:before="28" w:after="280"/>
        <w:jc w:val="both"/>
      </w:pPr>
      <w:r>
        <w:rPr>
          <w:rFonts w:ascii="Times New Roman" w:hAnsi="Times New Roman" w:cs="Times New Roman"/>
          <w:sz w:val="24"/>
          <w:szCs w:val="24"/>
        </w:rPr>
        <w:t>5. Количество проведенных комиссий по БДД;</w:t>
      </w:r>
    </w:p>
    <w:p w:rsidR="00C378D0" w:rsidRDefault="00C378D0" w:rsidP="002368DF">
      <w:pPr>
        <w:pStyle w:val="ConsPlusCell"/>
        <w:spacing w:before="28" w:after="280"/>
        <w:jc w:val="both"/>
      </w:pPr>
      <w:r>
        <w:rPr>
          <w:rFonts w:ascii="Times New Roman" w:hAnsi="Times New Roman" w:cs="Times New Roman"/>
          <w:sz w:val="24"/>
          <w:szCs w:val="24"/>
        </w:rPr>
        <w:t>6. Количество проведенных мероприятий с детьми;</w:t>
      </w:r>
    </w:p>
    <w:p w:rsidR="00C378D0" w:rsidRDefault="00C378D0" w:rsidP="002368DF">
      <w:pPr>
        <w:pStyle w:val="ConsPlusCell"/>
        <w:spacing w:before="28" w:after="280"/>
        <w:jc w:val="both"/>
      </w:pPr>
      <w:r>
        <w:rPr>
          <w:rFonts w:ascii="Times New Roman" w:hAnsi="Times New Roman" w:cs="Times New Roman"/>
          <w:sz w:val="24"/>
          <w:szCs w:val="24"/>
        </w:rPr>
        <w:t>7. Количество участников профилактических мероприятий с детьми (детей).</w:t>
      </w:r>
    </w:p>
    <w:p w:rsidR="00C378D0" w:rsidRDefault="00C378D0" w:rsidP="002368DF">
      <w:pPr>
        <w:pStyle w:val="ConsPlusCell"/>
        <w:spacing w:before="28" w:after="280"/>
        <w:jc w:val="both"/>
      </w:pPr>
      <w:r>
        <w:rPr>
          <w:rFonts w:ascii="Times New Roman" w:hAnsi="Times New Roman" w:cs="Times New Roman"/>
          <w:sz w:val="24"/>
          <w:szCs w:val="24"/>
        </w:rPr>
        <w:t>8. Количество установленных средств дополнительного привлечения внимания (баннеры, предупреждающие знаки);</w:t>
      </w:r>
    </w:p>
    <w:p w:rsidR="00C378D0" w:rsidRDefault="00C378D0" w:rsidP="002368DF">
      <w:pPr>
        <w:pStyle w:val="ConsPlusCell"/>
        <w:spacing w:before="28" w:after="280"/>
        <w:jc w:val="both"/>
      </w:pPr>
      <w:r>
        <w:rPr>
          <w:rFonts w:ascii="Times New Roman" w:hAnsi="Times New Roman" w:cs="Times New Roman"/>
          <w:sz w:val="24"/>
          <w:szCs w:val="24"/>
        </w:rPr>
        <w:t>9. Количество приведенных пешеходных переходов к требованиям безопасности дорожного движения;</w:t>
      </w:r>
    </w:p>
    <w:p w:rsidR="00C378D0" w:rsidRDefault="00C378D0" w:rsidP="002368DF">
      <w:pPr>
        <w:pStyle w:val="ConsPlusCell"/>
        <w:spacing w:before="28" w:after="280"/>
        <w:jc w:val="both"/>
      </w:pPr>
      <w:r>
        <w:rPr>
          <w:rFonts w:ascii="Times New Roman" w:hAnsi="Times New Roman" w:cs="Times New Roman"/>
          <w:sz w:val="24"/>
          <w:szCs w:val="24"/>
        </w:rPr>
        <w:t>10. Уровень количества выданных предписаний на устранение выявленных недостатков эксплуатационного состояния дорожной сети;</w:t>
      </w:r>
    </w:p>
    <w:p w:rsidR="00C378D0" w:rsidRDefault="00C378D0" w:rsidP="002368DF">
      <w:pPr>
        <w:pStyle w:val="ConsPlusCell"/>
        <w:spacing w:before="28" w:after="2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11.  Уровень ликвидированных опасных участков дорожной сети от числа выявленных.</w:t>
      </w:r>
    </w:p>
    <w:p w:rsidR="00C378D0" w:rsidRDefault="00C378D0" w:rsidP="002368DF">
      <w:pPr>
        <w:spacing w:after="0" w:line="240" w:lineRule="auto"/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Для каждого мероприятия Программы предусмотрены отдельные индикаторы реализации программных мероприятий. Целевые индикаторы (показатели) Программы соответствуют приоритетам, целям и задачам Программы. Плановые значения целевых индикаторов и показателей, характеризующих эффективность реализации мероприятий Программы, приведены в Таблице № 1 приложения 1 к настоящей программе. </w:t>
      </w:r>
    </w:p>
    <w:p w:rsidR="00C378D0" w:rsidRDefault="00C378D0" w:rsidP="002368DF">
      <w:pPr>
        <w:spacing w:after="0" w:line="240" w:lineRule="auto"/>
        <w:jc w:val="both"/>
      </w:pPr>
      <w:r>
        <w:rPr>
          <w:rFonts w:ascii="Times New Roman" w:hAnsi="Times New Roman" w:cs="Times New Roman"/>
          <w:sz w:val="24"/>
          <w:szCs w:val="24"/>
        </w:rPr>
        <w:t>Показатели индикаторов берутся на основании годового отчета ОГИБДД ОМВД и образовательных организаций.</w:t>
      </w:r>
    </w:p>
    <w:p w:rsidR="00C378D0" w:rsidRDefault="00C378D0" w:rsidP="002368D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378D0" w:rsidRDefault="00C378D0" w:rsidP="002368D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РАЗДЕЛ 4.</w:t>
      </w:r>
    </w:p>
    <w:p w:rsidR="00C378D0" w:rsidRDefault="00C378D0" w:rsidP="002368D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378D0" w:rsidRDefault="00C378D0" w:rsidP="002368DF">
      <w:pPr>
        <w:spacing w:after="0" w:line="240" w:lineRule="auto"/>
        <w:jc w:val="center"/>
        <w:rPr>
          <w:b/>
          <w:bCs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Прогноз конечных результатов муниципальной программы</w:t>
      </w:r>
    </w:p>
    <w:p w:rsidR="00C378D0" w:rsidRDefault="00C378D0" w:rsidP="002368D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378D0" w:rsidRDefault="00C378D0" w:rsidP="002368DF">
      <w:pPr>
        <w:spacing w:after="0" w:line="240" w:lineRule="auto"/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  Мероприятия Программы  нацелены на снижение количества ДТП в Лахденпохском районе к уровню 2018г. на 12,4%</w:t>
      </w:r>
    </w:p>
    <w:p w:rsidR="00C378D0" w:rsidRDefault="00C378D0" w:rsidP="002368D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378D0" w:rsidRDefault="00C378D0" w:rsidP="002368DF">
      <w:pPr>
        <w:spacing w:after="0" w:line="240" w:lineRule="auto"/>
        <w:jc w:val="both"/>
      </w:pPr>
      <w:r>
        <w:rPr>
          <w:rFonts w:ascii="Times New Roman" w:hAnsi="Times New Roman" w:cs="Times New Roman"/>
          <w:sz w:val="24"/>
          <w:szCs w:val="24"/>
        </w:rPr>
        <w:t>Прогнозные показатели Программы отражены в приложении (таблица № 1).</w:t>
      </w:r>
    </w:p>
    <w:p w:rsidR="00C378D0" w:rsidRDefault="00C378D0" w:rsidP="002368D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378D0" w:rsidRDefault="00C378D0" w:rsidP="002368DF">
      <w:pPr>
        <w:tabs>
          <w:tab w:val="left" w:pos="3900"/>
          <w:tab w:val="center" w:pos="4677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C378D0" w:rsidRDefault="00C378D0" w:rsidP="002368DF">
      <w:pPr>
        <w:tabs>
          <w:tab w:val="left" w:pos="3900"/>
          <w:tab w:val="center" w:pos="4677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РАЗДЕЛ 5.</w:t>
      </w:r>
    </w:p>
    <w:p w:rsidR="00C378D0" w:rsidRDefault="00C378D0" w:rsidP="002368D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378D0" w:rsidRDefault="00C378D0" w:rsidP="002368DF">
      <w:pPr>
        <w:spacing w:after="0" w:line="240" w:lineRule="auto"/>
        <w:jc w:val="center"/>
        <w:rPr>
          <w:b/>
          <w:bCs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Анализ рисков реализации Программы </w:t>
      </w:r>
    </w:p>
    <w:p w:rsidR="00C378D0" w:rsidRDefault="00C378D0" w:rsidP="002368DF">
      <w:pPr>
        <w:widowControl w:val="0"/>
        <w:spacing w:after="0" w:line="240" w:lineRule="auto"/>
        <w:ind w:firstLine="540"/>
        <w:jc w:val="both"/>
      </w:pPr>
      <w:r>
        <w:rPr>
          <w:rFonts w:ascii="Times New Roman" w:hAnsi="Times New Roman" w:cs="Times New Roman"/>
          <w:sz w:val="24"/>
          <w:szCs w:val="24"/>
        </w:rPr>
        <w:t>Важное значение для успешной реализации Программы имеет прогнозирование возможных рисков, связанных с достижением основной цели, решением задач Программы, оценка их масштабов и последствий, а также формирование системы мер по их предотвращению.</w:t>
      </w:r>
    </w:p>
    <w:p w:rsidR="00C378D0" w:rsidRDefault="00C378D0" w:rsidP="002368DF">
      <w:pPr>
        <w:widowControl w:val="0"/>
        <w:spacing w:after="0" w:line="240" w:lineRule="auto"/>
        <w:ind w:firstLine="540"/>
        <w:jc w:val="both"/>
      </w:pPr>
      <w:r>
        <w:rPr>
          <w:rFonts w:ascii="Times New Roman" w:hAnsi="Times New Roman" w:cs="Times New Roman"/>
          <w:sz w:val="24"/>
          <w:szCs w:val="24"/>
        </w:rPr>
        <w:t>В рамках реализации Программы могут быть выделены следующие риски ее реализации.</w:t>
      </w:r>
    </w:p>
    <w:p w:rsidR="00C378D0" w:rsidRDefault="00C378D0" w:rsidP="002368DF">
      <w:pPr>
        <w:widowControl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C378D0" w:rsidRDefault="00C378D0" w:rsidP="002368DF">
      <w:pPr>
        <w:widowControl w:val="0"/>
        <w:spacing w:after="0" w:line="240" w:lineRule="auto"/>
        <w:jc w:val="center"/>
        <w:outlineLvl w:val="2"/>
      </w:pPr>
      <w:r>
        <w:rPr>
          <w:rFonts w:ascii="Times New Roman" w:hAnsi="Times New Roman" w:cs="Times New Roman"/>
          <w:sz w:val="24"/>
          <w:szCs w:val="24"/>
        </w:rPr>
        <w:t>Финансовые риски</w:t>
      </w:r>
    </w:p>
    <w:p w:rsidR="00C378D0" w:rsidRDefault="00C378D0" w:rsidP="002368DF">
      <w:pPr>
        <w:widowControl w:val="0"/>
        <w:spacing w:after="0" w:line="240" w:lineRule="auto"/>
        <w:ind w:firstLine="540"/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Финансовые риски связаны с возникновением бюджетного дефицита и недостаточным, вследствие этого, уровнем бюджетного финансирования на  сокращение или прекращение программных мероприятий. </w:t>
      </w:r>
    </w:p>
    <w:p w:rsidR="00C378D0" w:rsidRDefault="00C378D0" w:rsidP="002368DF">
      <w:pPr>
        <w:widowControl w:val="0"/>
        <w:spacing w:after="0" w:line="240" w:lineRule="auto"/>
        <w:ind w:firstLine="540"/>
        <w:jc w:val="both"/>
      </w:pPr>
      <w:r>
        <w:rPr>
          <w:rFonts w:ascii="Times New Roman" w:hAnsi="Times New Roman" w:cs="Times New Roman"/>
          <w:sz w:val="24"/>
          <w:szCs w:val="24"/>
        </w:rPr>
        <w:t>Способами ограничения финансовых рисков выступают следующие меры:</w:t>
      </w:r>
    </w:p>
    <w:p w:rsidR="00C378D0" w:rsidRDefault="00C378D0" w:rsidP="002368DF">
      <w:pPr>
        <w:widowControl w:val="0"/>
        <w:spacing w:after="0" w:line="240" w:lineRule="auto"/>
        <w:ind w:firstLine="540"/>
        <w:jc w:val="both"/>
      </w:pPr>
      <w:r>
        <w:rPr>
          <w:rFonts w:ascii="Times New Roman" w:hAnsi="Times New Roman" w:cs="Times New Roman"/>
          <w:sz w:val="24"/>
          <w:szCs w:val="24"/>
        </w:rPr>
        <w:t>- ежегодное уточнение объемов финансовых средств, предусмотренных на реализацию мероприятий Программы, в зависимости от достигнутых результатов;</w:t>
      </w:r>
    </w:p>
    <w:p w:rsidR="00C378D0" w:rsidRDefault="00C378D0" w:rsidP="002368DF">
      <w:pPr>
        <w:widowControl w:val="0"/>
        <w:spacing w:after="0" w:line="240" w:lineRule="auto"/>
        <w:ind w:firstLine="540"/>
        <w:jc w:val="both"/>
      </w:pPr>
      <w:r>
        <w:rPr>
          <w:rFonts w:ascii="Times New Roman" w:hAnsi="Times New Roman" w:cs="Times New Roman"/>
          <w:sz w:val="24"/>
          <w:szCs w:val="24"/>
        </w:rPr>
        <w:t>- определение приоритетов для первоочередного финансирования;</w:t>
      </w:r>
    </w:p>
    <w:p w:rsidR="00C378D0" w:rsidRDefault="00C378D0" w:rsidP="002368DF">
      <w:pPr>
        <w:widowControl w:val="0"/>
        <w:spacing w:after="0" w:line="240" w:lineRule="auto"/>
        <w:ind w:firstLine="540"/>
        <w:jc w:val="both"/>
      </w:pPr>
      <w:r>
        <w:rPr>
          <w:rFonts w:ascii="Times New Roman" w:hAnsi="Times New Roman" w:cs="Times New Roman"/>
          <w:sz w:val="24"/>
          <w:szCs w:val="24"/>
        </w:rPr>
        <w:t>- планирование бюджетных расходов с применением методик оценки эффективности бюджетных расходов.</w:t>
      </w:r>
    </w:p>
    <w:p w:rsidR="00C378D0" w:rsidRDefault="00C378D0" w:rsidP="002368DF">
      <w:pPr>
        <w:widowControl w:val="0"/>
        <w:spacing w:after="0" w:line="240" w:lineRule="auto"/>
        <w:jc w:val="center"/>
        <w:outlineLvl w:val="2"/>
      </w:pPr>
      <w:r>
        <w:rPr>
          <w:rFonts w:ascii="Times New Roman" w:hAnsi="Times New Roman" w:cs="Times New Roman"/>
          <w:sz w:val="24"/>
          <w:szCs w:val="24"/>
        </w:rPr>
        <w:t>Административные риски</w:t>
      </w:r>
    </w:p>
    <w:p w:rsidR="00C378D0" w:rsidRDefault="00C378D0" w:rsidP="002368DF">
      <w:pPr>
        <w:widowControl w:val="0"/>
        <w:spacing w:after="0" w:line="240" w:lineRule="auto"/>
        <w:ind w:firstLine="540"/>
        <w:jc w:val="both"/>
      </w:pPr>
      <w:r>
        <w:rPr>
          <w:rFonts w:ascii="Times New Roman" w:hAnsi="Times New Roman" w:cs="Times New Roman"/>
          <w:sz w:val="24"/>
          <w:szCs w:val="24"/>
        </w:rPr>
        <w:t>Риски данной группы связаны с неэффективным управлением Программой, низкой эффективностью взаимодействия заинтересованных сторон, что может повлечь за собой нарушение планируемых сроков реализации Программы, невыполнение ее цели и задач, не достижение плановых значений показателей, снижение эффективности использования ресурсов и качества выполнения мероприятий Программы.</w:t>
      </w:r>
    </w:p>
    <w:p w:rsidR="00C378D0" w:rsidRDefault="00C378D0" w:rsidP="002368DF">
      <w:pPr>
        <w:widowControl w:val="0"/>
        <w:spacing w:after="0" w:line="240" w:lineRule="auto"/>
        <w:ind w:firstLine="540"/>
        <w:jc w:val="both"/>
      </w:pPr>
      <w:r>
        <w:rPr>
          <w:rFonts w:ascii="Times New Roman" w:hAnsi="Times New Roman" w:cs="Times New Roman"/>
          <w:sz w:val="24"/>
          <w:szCs w:val="24"/>
        </w:rPr>
        <w:t>Основными условиями минимизации административных рисков являются:</w:t>
      </w:r>
    </w:p>
    <w:p w:rsidR="00C378D0" w:rsidRDefault="00C378D0" w:rsidP="002368DF">
      <w:pPr>
        <w:widowControl w:val="0"/>
        <w:spacing w:after="0" w:line="240" w:lineRule="auto"/>
        <w:ind w:firstLine="540"/>
        <w:jc w:val="both"/>
      </w:pPr>
      <w:r>
        <w:rPr>
          <w:rFonts w:ascii="Times New Roman" w:hAnsi="Times New Roman" w:cs="Times New Roman"/>
          <w:sz w:val="24"/>
          <w:szCs w:val="24"/>
        </w:rPr>
        <w:t>- формирование эффективной системы управления реализацией Программы;</w:t>
      </w:r>
    </w:p>
    <w:p w:rsidR="00C378D0" w:rsidRDefault="00C378D0" w:rsidP="002368DF">
      <w:pPr>
        <w:widowControl w:val="0"/>
        <w:spacing w:after="0" w:line="240" w:lineRule="auto"/>
        <w:ind w:firstLine="540"/>
        <w:jc w:val="both"/>
      </w:pPr>
      <w:r>
        <w:rPr>
          <w:rFonts w:ascii="Times New Roman" w:hAnsi="Times New Roman" w:cs="Times New Roman"/>
          <w:sz w:val="24"/>
          <w:szCs w:val="24"/>
        </w:rPr>
        <w:t>- проведение систематического мониторинга результативности реализации Программы;</w:t>
      </w:r>
    </w:p>
    <w:p w:rsidR="00C378D0" w:rsidRDefault="00C378D0" w:rsidP="002368DF">
      <w:pPr>
        <w:widowControl w:val="0"/>
        <w:spacing w:after="0" w:line="240" w:lineRule="auto"/>
        <w:ind w:firstLine="540"/>
        <w:jc w:val="both"/>
      </w:pPr>
      <w:r>
        <w:rPr>
          <w:rFonts w:ascii="Times New Roman" w:hAnsi="Times New Roman" w:cs="Times New Roman"/>
          <w:sz w:val="24"/>
          <w:szCs w:val="24"/>
        </w:rPr>
        <w:t>- регулярная публикация отчетов о ходе реализации Программы;</w:t>
      </w:r>
    </w:p>
    <w:p w:rsidR="00C378D0" w:rsidRDefault="00C378D0" w:rsidP="002368DF">
      <w:pPr>
        <w:widowControl w:val="0"/>
        <w:spacing w:after="0" w:line="240" w:lineRule="auto"/>
        <w:ind w:firstLine="540"/>
        <w:jc w:val="both"/>
      </w:pPr>
      <w:r>
        <w:rPr>
          <w:rFonts w:ascii="Times New Roman" w:hAnsi="Times New Roman" w:cs="Times New Roman"/>
          <w:sz w:val="24"/>
          <w:szCs w:val="24"/>
        </w:rPr>
        <w:t>- повышение эффективности взаимодействия участников реализации Программы;</w:t>
      </w:r>
    </w:p>
    <w:p w:rsidR="00C378D0" w:rsidRDefault="00C378D0" w:rsidP="002368DF">
      <w:pPr>
        <w:widowControl w:val="0"/>
        <w:spacing w:after="0" w:line="240" w:lineRule="auto"/>
        <w:ind w:firstLine="540"/>
        <w:jc w:val="both"/>
      </w:pPr>
      <w:r>
        <w:rPr>
          <w:rFonts w:ascii="Times New Roman" w:hAnsi="Times New Roman" w:cs="Times New Roman"/>
          <w:sz w:val="24"/>
          <w:szCs w:val="24"/>
        </w:rPr>
        <w:t>- своевременная корректировка мероприятий Программы.</w:t>
      </w:r>
    </w:p>
    <w:p w:rsidR="00C378D0" w:rsidRDefault="00C378D0" w:rsidP="002368DF">
      <w:pPr>
        <w:widowControl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C378D0" w:rsidRDefault="00C378D0" w:rsidP="002368DF">
      <w:pPr>
        <w:shd w:val="clear" w:color="auto" w:fill="FFFFFF"/>
        <w:tabs>
          <w:tab w:val="left" w:pos="902"/>
        </w:tabs>
        <w:spacing w:after="0" w:line="20" w:lineRule="atLeast"/>
        <w:ind w:left="5" w:right="19" w:firstLine="538"/>
        <w:jc w:val="both"/>
      </w:pPr>
      <w:r>
        <w:rPr>
          <w:rFonts w:ascii="Times New Roman" w:hAnsi="Times New Roman" w:cs="Times New Roman"/>
          <w:sz w:val="24"/>
          <w:szCs w:val="24"/>
        </w:rPr>
        <w:t>В случае оказания влияния одного или нескольких факторов на достижение запланированных показателей Программы ответственный исполнитель вносит предложения о внесении изменений в перечни и состав мероприятий, сроки их реализации, значения планируемых к достижению показателей Программы, а также в объемы бюджетных ассигнований на реализацию мероприятий в пределах утвержденных лимитов бюджетных ассигнований, предусмотренных планом реализации Программы на соответствующий год.</w:t>
      </w:r>
    </w:p>
    <w:p w:rsidR="00C378D0" w:rsidRDefault="00C378D0" w:rsidP="002368DF">
      <w:pPr>
        <w:shd w:val="clear" w:color="auto" w:fill="FFFFFF"/>
        <w:tabs>
          <w:tab w:val="left" w:pos="902"/>
        </w:tabs>
        <w:spacing w:after="0" w:line="20" w:lineRule="atLeast"/>
        <w:ind w:left="5" w:right="19" w:firstLine="538"/>
        <w:jc w:val="both"/>
        <w:rPr>
          <w:rFonts w:ascii="Times New Roman" w:hAnsi="Times New Roman" w:cs="Times New Roman"/>
          <w:sz w:val="24"/>
          <w:szCs w:val="24"/>
        </w:rPr>
      </w:pPr>
    </w:p>
    <w:p w:rsidR="00C378D0" w:rsidRDefault="00C378D0" w:rsidP="002368DF">
      <w:pPr>
        <w:pStyle w:val="ListParagraph"/>
        <w:widowControl w:val="0"/>
        <w:spacing w:after="0" w:line="240" w:lineRule="auto"/>
        <w:ind w:left="1080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</w:p>
    <w:p w:rsidR="00C378D0" w:rsidRDefault="00C378D0" w:rsidP="002368DF">
      <w:pPr>
        <w:pStyle w:val="ListParagraph"/>
        <w:spacing w:after="0"/>
        <w:ind w:left="1800"/>
        <w:jc w:val="center"/>
      </w:pPr>
      <w:r>
        <w:rPr>
          <w:rFonts w:ascii="Times New Roman" w:hAnsi="Times New Roman" w:cs="Times New Roman"/>
          <w:sz w:val="24"/>
          <w:szCs w:val="24"/>
        </w:rPr>
        <w:t>РАЗДЕЛ 6</w:t>
      </w:r>
    </w:p>
    <w:p w:rsidR="00C378D0" w:rsidRDefault="00C378D0" w:rsidP="002368DF">
      <w:pPr>
        <w:pStyle w:val="ListParagraph"/>
        <w:spacing w:after="0"/>
        <w:ind w:left="1800"/>
        <w:jc w:val="center"/>
      </w:pPr>
      <w:r>
        <w:rPr>
          <w:rFonts w:ascii="Times New Roman" w:hAnsi="Times New Roman" w:cs="Times New Roman"/>
          <w:b/>
          <w:bCs/>
          <w:sz w:val="24"/>
          <w:szCs w:val="24"/>
        </w:rPr>
        <w:t>Обоснование потребностей в бюджетных ресурсах для достижений целей и результатов Программы.</w:t>
      </w:r>
    </w:p>
    <w:p w:rsidR="00C378D0" w:rsidRDefault="00C378D0" w:rsidP="002368DF">
      <w:pPr>
        <w:shd w:val="clear" w:color="auto" w:fill="FFFFFF"/>
        <w:tabs>
          <w:tab w:val="left" w:pos="567"/>
        </w:tabs>
        <w:spacing w:after="0" w:line="274" w:lineRule="exact"/>
        <w:ind w:right="19"/>
        <w:jc w:val="both"/>
      </w:pPr>
      <w:r>
        <w:rPr>
          <w:rFonts w:ascii="Times New Roman" w:hAnsi="Times New Roman" w:cs="Times New Roman"/>
          <w:sz w:val="24"/>
          <w:szCs w:val="24"/>
        </w:rPr>
        <w:tab/>
        <w:t>Потребность в бюджетных ресурсах Лахденпохского муниципального района для реализации Программы  составляет 309 тысяч рублей,  в том числе:</w:t>
      </w:r>
    </w:p>
    <w:p w:rsidR="00C378D0" w:rsidRDefault="00C378D0" w:rsidP="002368DF">
      <w:pPr>
        <w:shd w:val="clear" w:color="auto" w:fill="FFFFFF"/>
        <w:tabs>
          <w:tab w:val="left" w:pos="567"/>
        </w:tabs>
        <w:spacing w:after="0" w:line="274" w:lineRule="exact"/>
        <w:ind w:right="19"/>
        <w:jc w:val="both"/>
        <w:rPr>
          <w:rFonts w:ascii="Times New Roman" w:hAnsi="Times New Roman" w:cs="Times New Roman"/>
          <w:sz w:val="24"/>
          <w:szCs w:val="24"/>
        </w:rPr>
      </w:pPr>
    </w:p>
    <w:p w:rsidR="00C378D0" w:rsidRDefault="00C378D0" w:rsidP="002368DF">
      <w:pPr>
        <w:shd w:val="clear" w:color="auto" w:fill="FFFFFF"/>
        <w:tabs>
          <w:tab w:val="left" w:pos="567"/>
        </w:tabs>
        <w:spacing w:after="0" w:line="274" w:lineRule="exact"/>
        <w:ind w:right="19"/>
        <w:jc w:val="both"/>
      </w:pPr>
      <w:r>
        <w:rPr>
          <w:rFonts w:ascii="Times New Roman" w:hAnsi="Times New Roman" w:cs="Times New Roman"/>
          <w:sz w:val="24"/>
          <w:szCs w:val="24"/>
        </w:rPr>
        <w:t>На изготовление и размещение социальной рекламы (баннер) 2021г- 30 тыс руб; 2023 г. - 30 тыс. руб.</w:t>
      </w:r>
    </w:p>
    <w:p w:rsidR="00C378D0" w:rsidRDefault="00C378D0" w:rsidP="002368DF">
      <w:pPr>
        <w:shd w:val="clear" w:color="auto" w:fill="FFFFFF"/>
        <w:tabs>
          <w:tab w:val="left" w:pos="567"/>
        </w:tabs>
        <w:spacing w:after="0" w:line="274" w:lineRule="exact"/>
        <w:ind w:right="19"/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Установка баннера будет производиться в ходе выявленных опасных участков дорожной сети. </w:t>
      </w:r>
    </w:p>
    <w:p w:rsidR="00C378D0" w:rsidRDefault="00C378D0" w:rsidP="002368DF">
      <w:pPr>
        <w:shd w:val="clear" w:color="auto" w:fill="FFFFFF"/>
        <w:tabs>
          <w:tab w:val="left" w:pos="567"/>
        </w:tabs>
        <w:spacing w:after="0" w:line="274" w:lineRule="exact"/>
        <w:ind w:right="19"/>
        <w:jc w:val="both"/>
      </w:pPr>
      <w:r>
        <w:rPr>
          <w:rFonts w:ascii="Times New Roman" w:hAnsi="Times New Roman" w:cs="Times New Roman"/>
          <w:sz w:val="24"/>
          <w:szCs w:val="24"/>
        </w:rPr>
        <w:t>На проведение мероприятий  программы:</w:t>
      </w:r>
    </w:p>
    <w:tbl>
      <w:tblPr>
        <w:tblW w:w="9638" w:type="dxa"/>
        <w:tblInd w:w="-50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top w:w="55" w:type="dxa"/>
          <w:left w:w="50" w:type="dxa"/>
          <w:bottom w:w="55" w:type="dxa"/>
          <w:right w:w="55" w:type="dxa"/>
        </w:tblCellMar>
        <w:tblLook w:val="0000"/>
      </w:tblPr>
      <w:tblGrid>
        <w:gridCol w:w="5"/>
        <w:gridCol w:w="1903"/>
        <w:gridCol w:w="2298"/>
        <w:gridCol w:w="1567"/>
        <w:gridCol w:w="2298"/>
        <w:gridCol w:w="1567"/>
      </w:tblGrid>
      <w:tr w:rsidR="00C378D0">
        <w:tc>
          <w:tcPr>
            <w:tcW w:w="1927" w:type="dxa"/>
            <w:gridSpan w:val="2"/>
            <w:tcBorders>
              <w:right w:val="nil"/>
            </w:tcBorders>
          </w:tcPr>
          <w:p w:rsidR="00C378D0" w:rsidRDefault="00C378D0">
            <w:pPr>
              <w:pStyle w:val="a0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мероприятие</w:t>
            </w:r>
          </w:p>
        </w:tc>
        <w:tc>
          <w:tcPr>
            <w:tcW w:w="1928" w:type="dxa"/>
            <w:tcBorders>
              <w:left w:val="single" w:sz="4" w:space="0" w:color="000001"/>
              <w:right w:val="nil"/>
            </w:tcBorders>
          </w:tcPr>
          <w:p w:rsidR="00C378D0" w:rsidRDefault="00C378D0">
            <w:pPr>
              <w:pStyle w:val="a0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2020</w:t>
            </w:r>
          </w:p>
        </w:tc>
        <w:tc>
          <w:tcPr>
            <w:tcW w:w="1924" w:type="dxa"/>
            <w:tcBorders>
              <w:left w:val="single" w:sz="4" w:space="0" w:color="000001"/>
              <w:right w:val="nil"/>
            </w:tcBorders>
          </w:tcPr>
          <w:p w:rsidR="00C378D0" w:rsidRDefault="00C378D0">
            <w:pPr>
              <w:pStyle w:val="a0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2021</w:t>
            </w:r>
          </w:p>
        </w:tc>
        <w:tc>
          <w:tcPr>
            <w:tcW w:w="1929" w:type="dxa"/>
            <w:tcBorders>
              <w:left w:val="single" w:sz="4" w:space="0" w:color="000001"/>
              <w:right w:val="nil"/>
            </w:tcBorders>
          </w:tcPr>
          <w:p w:rsidR="00C378D0" w:rsidRDefault="00C378D0">
            <w:pPr>
              <w:pStyle w:val="a0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2022</w:t>
            </w:r>
          </w:p>
        </w:tc>
        <w:tc>
          <w:tcPr>
            <w:tcW w:w="1930" w:type="dxa"/>
            <w:tcBorders>
              <w:left w:val="single" w:sz="4" w:space="0" w:color="000001"/>
              <w:right w:val="single" w:sz="4" w:space="0" w:color="000001"/>
            </w:tcBorders>
          </w:tcPr>
          <w:p w:rsidR="00C378D0" w:rsidRDefault="00C378D0">
            <w:pPr>
              <w:pStyle w:val="a0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2023</w:t>
            </w:r>
          </w:p>
        </w:tc>
      </w:tr>
      <w:tr w:rsidR="00C378D0">
        <w:tc>
          <w:tcPr>
            <w:tcW w:w="1927" w:type="dxa"/>
            <w:gridSpan w:val="2"/>
            <w:tcBorders>
              <w:right w:val="nil"/>
            </w:tcBorders>
          </w:tcPr>
          <w:p w:rsidR="00C378D0" w:rsidRDefault="00C378D0">
            <w:pPr>
              <w:pStyle w:val="a0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Организация и проведение Акции «Возьми ребенка за руку»</w:t>
            </w:r>
          </w:p>
        </w:tc>
        <w:tc>
          <w:tcPr>
            <w:tcW w:w="1928" w:type="dxa"/>
            <w:tcBorders>
              <w:left w:val="single" w:sz="4" w:space="0" w:color="000001"/>
              <w:right w:val="nil"/>
            </w:tcBorders>
          </w:tcPr>
          <w:p w:rsidR="00C378D0" w:rsidRDefault="00C378D0">
            <w:pPr>
              <w:pStyle w:val="a0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Печать листовок</w:t>
            </w:r>
          </w:p>
          <w:p w:rsidR="00C378D0" w:rsidRDefault="00C378D0">
            <w:pPr>
              <w:pStyle w:val="a0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200шт. Х 10 руб.= 2000 руб</w:t>
            </w:r>
          </w:p>
        </w:tc>
        <w:tc>
          <w:tcPr>
            <w:tcW w:w="1924" w:type="dxa"/>
            <w:tcBorders>
              <w:left w:val="single" w:sz="4" w:space="0" w:color="000001"/>
              <w:right w:val="nil"/>
            </w:tcBorders>
          </w:tcPr>
          <w:p w:rsidR="00C378D0" w:rsidRDefault="00C378D0">
            <w:pPr>
              <w:pStyle w:val="a0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Печать листовок</w:t>
            </w:r>
          </w:p>
          <w:p w:rsidR="00C378D0" w:rsidRDefault="00C378D0">
            <w:pPr>
              <w:pStyle w:val="a0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200шт. Х 10 руб.= 2000 руб</w:t>
            </w:r>
          </w:p>
        </w:tc>
        <w:tc>
          <w:tcPr>
            <w:tcW w:w="1929" w:type="dxa"/>
            <w:tcBorders>
              <w:left w:val="single" w:sz="4" w:space="0" w:color="000001"/>
              <w:right w:val="nil"/>
            </w:tcBorders>
          </w:tcPr>
          <w:p w:rsidR="00C378D0" w:rsidRDefault="00C378D0">
            <w:pPr>
              <w:pStyle w:val="a0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Печать листовок</w:t>
            </w:r>
          </w:p>
          <w:p w:rsidR="00C378D0" w:rsidRDefault="00C378D0">
            <w:pPr>
              <w:pStyle w:val="a0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200шт. Х 10 руб.= 2000 руб</w:t>
            </w:r>
          </w:p>
        </w:tc>
        <w:tc>
          <w:tcPr>
            <w:tcW w:w="1930" w:type="dxa"/>
            <w:tcBorders>
              <w:left w:val="single" w:sz="4" w:space="0" w:color="000001"/>
              <w:right w:val="single" w:sz="4" w:space="0" w:color="000001"/>
            </w:tcBorders>
          </w:tcPr>
          <w:p w:rsidR="00C378D0" w:rsidRDefault="00C378D0">
            <w:pPr>
              <w:pStyle w:val="a0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Печать листовок</w:t>
            </w:r>
          </w:p>
          <w:p w:rsidR="00C378D0" w:rsidRDefault="00C378D0">
            <w:pPr>
              <w:pStyle w:val="a0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200шт. Х 15 руб.= 3000 руб</w:t>
            </w:r>
          </w:p>
        </w:tc>
      </w:tr>
      <w:tr w:rsidR="00C378D0">
        <w:tc>
          <w:tcPr>
            <w:tcW w:w="1927" w:type="dxa"/>
            <w:gridSpan w:val="2"/>
            <w:tcBorders>
              <w:right w:val="nil"/>
            </w:tcBorders>
          </w:tcPr>
          <w:p w:rsidR="00C378D0" w:rsidRDefault="00C378D0">
            <w:pPr>
              <w:pStyle w:val="a0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Районный конкурс «Безопасное колесо»</w:t>
            </w:r>
          </w:p>
        </w:tc>
        <w:tc>
          <w:tcPr>
            <w:tcW w:w="1928" w:type="dxa"/>
            <w:tcBorders>
              <w:left w:val="single" w:sz="4" w:space="0" w:color="000001"/>
              <w:right w:val="nil"/>
            </w:tcBorders>
          </w:tcPr>
          <w:p w:rsidR="00C378D0" w:rsidRDefault="00C378D0">
            <w:pPr>
              <w:pStyle w:val="a0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Награждение:</w:t>
            </w:r>
          </w:p>
          <w:p w:rsidR="00C378D0" w:rsidRDefault="00C378D0">
            <w:pPr>
              <w:pStyle w:val="a0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грамоты:3 шт Х 55 руб = 165 руб.</w:t>
            </w:r>
          </w:p>
          <w:p w:rsidR="00C378D0" w:rsidRDefault="00C378D0">
            <w:pPr>
              <w:pStyle w:val="a0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кубки: (3 призовых места) 1200 рублей</w:t>
            </w:r>
          </w:p>
          <w:p w:rsidR="00C378D0" w:rsidRDefault="00C378D0">
            <w:pPr>
              <w:pStyle w:val="a0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ценные подарки на сумму 4635 рублей.</w:t>
            </w:r>
          </w:p>
          <w:p w:rsidR="00C378D0" w:rsidRDefault="00C378D0">
            <w:pPr>
              <w:pStyle w:val="a0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</w:p>
        </w:tc>
        <w:tc>
          <w:tcPr>
            <w:tcW w:w="1924" w:type="dxa"/>
            <w:tcBorders>
              <w:left w:val="single" w:sz="4" w:space="0" w:color="000001"/>
              <w:right w:val="nil"/>
            </w:tcBorders>
          </w:tcPr>
          <w:p w:rsidR="00C378D0" w:rsidRDefault="00C378D0">
            <w:pPr>
              <w:pStyle w:val="a0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Награждение:</w:t>
            </w:r>
          </w:p>
          <w:p w:rsidR="00C378D0" w:rsidRDefault="00C378D0">
            <w:pPr>
              <w:pStyle w:val="a0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грамоты:3 шт Х 55 руб = 165 руб.</w:t>
            </w:r>
          </w:p>
          <w:p w:rsidR="00C378D0" w:rsidRDefault="00C378D0">
            <w:pPr>
              <w:pStyle w:val="a0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кубки: (3 призовых места) 1200 рублей</w:t>
            </w:r>
          </w:p>
          <w:p w:rsidR="00C378D0" w:rsidRDefault="00C378D0">
            <w:pPr>
              <w:pStyle w:val="a0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ценные подарки на сумму 4635 рублей.</w:t>
            </w:r>
          </w:p>
        </w:tc>
        <w:tc>
          <w:tcPr>
            <w:tcW w:w="1929" w:type="dxa"/>
            <w:tcBorders>
              <w:left w:val="single" w:sz="4" w:space="0" w:color="000001"/>
              <w:right w:val="nil"/>
            </w:tcBorders>
          </w:tcPr>
          <w:p w:rsidR="00C378D0" w:rsidRDefault="00C378D0">
            <w:pPr>
              <w:pStyle w:val="a0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Награждение:</w:t>
            </w:r>
          </w:p>
          <w:p w:rsidR="00C378D0" w:rsidRDefault="00C378D0">
            <w:pPr>
              <w:pStyle w:val="a0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грамоты:3 шт Х 55 руб = 165 руб.</w:t>
            </w:r>
          </w:p>
          <w:p w:rsidR="00C378D0" w:rsidRDefault="00C378D0">
            <w:pPr>
              <w:pStyle w:val="a0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кубки: (3 призовых места) 1200 рублей</w:t>
            </w:r>
          </w:p>
          <w:p w:rsidR="00C378D0" w:rsidRDefault="00C378D0">
            <w:pPr>
              <w:pStyle w:val="a0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ценные подарки на сумму 4635 рублей.</w:t>
            </w:r>
          </w:p>
        </w:tc>
        <w:tc>
          <w:tcPr>
            <w:tcW w:w="1930" w:type="dxa"/>
            <w:tcBorders>
              <w:left w:val="single" w:sz="4" w:space="0" w:color="000001"/>
              <w:right w:val="single" w:sz="4" w:space="0" w:color="000001"/>
            </w:tcBorders>
          </w:tcPr>
          <w:p w:rsidR="00C378D0" w:rsidRDefault="00C378D0">
            <w:pPr>
              <w:pStyle w:val="a0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Награждение:</w:t>
            </w:r>
          </w:p>
          <w:p w:rsidR="00C378D0" w:rsidRDefault="00C378D0">
            <w:pPr>
              <w:pStyle w:val="a0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грамоты:3 шт Х 55 руб = 165 руб.</w:t>
            </w:r>
          </w:p>
          <w:p w:rsidR="00C378D0" w:rsidRDefault="00C378D0">
            <w:pPr>
              <w:pStyle w:val="a0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кубки: (3 призовых места) 1200 рублей</w:t>
            </w:r>
          </w:p>
          <w:p w:rsidR="00C378D0" w:rsidRDefault="00C378D0">
            <w:pPr>
              <w:pStyle w:val="a0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ценные подарки на сумму 4635 рублей.</w:t>
            </w:r>
          </w:p>
        </w:tc>
      </w:tr>
      <w:tr w:rsidR="00C378D0">
        <w:tc>
          <w:tcPr>
            <w:tcW w:w="1927" w:type="dxa"/>
            <w:gridSpan w:val="2"/>
            <w:tcBorders>
              <w:right w:val="nil"/>
            </w:tcBorders>
          </w:tcPr>
          <w:p w:rsidR="00C378D0" w:rsidRDefault="00C378D0">
            <w:pPr>
              <w:pStyle w:val="a0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Участие в республиканском конкурсе «Безопасное колесо»</w:t>
            </w:r>
          </w:p>
        </w:tc>
        <w:tc>
          <w:tcPr>
            <w:tcW w:w="1928" w:type="dxa"/>
            <w:tcBorders>
              <w:left w:val="single" w:sz="4" w:space="0" w:color="000001"/>
              <w:right w:val="nil"/>
            </w:tcBorders>
          </w:tcPr>
          <w:p w:rsidR="00C378D0" w:rsidRDefault="00C378D0">
            <w:pPr>
              <w:pStyle w:val="a0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Проезд участников команды в г. Петрозаводск и обратно</w:t>
            </w:r>
          </w:p>
          <w:p w:rsidR="00C378D0" w:rsidRDefault="00C378D0">
            <w:pPr>
              <w:pStyle w:val="a0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10 чел Х 750Х 2= 15 000 руб.</w:t>
            </w:r>
          </w:p>
          <w:p w:rsidR="00C378D0" w:rsidRDefault="00C378D0">
            <w:pPr>
              <w:pStyle w:val="a0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bookmarkStart w:id="3" w:name="__DdeLink__6448_1915785697"/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питание 10 чел Х 400 руб. = 4000 руб.</w:t>
            </w:r>
            <w:bookmarkEnd w:id="3"/>
          </w:p>
        </w:tc>
        <w:tc>
          <w:tcPr>
            <w:tcW w:w="1924" w:type="dxa"/>
            <w:tcBorders>
              <w:left w:val="single" w:sz="4" w:space="0" w:color="000001"/>
              <w:right w:val="nil"/>
            </w:tcBorders>
          </w:tcPr>
          <w:p w:rsidR="00C378D0" w:rsidRDefault="00C378D0">
            <w:pPr>
              <w:pStyle w:val="a0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Проезд участников команды в г. Петрозаводск и обратно</w:t>
            </w:r>
          </w:p>
          <w:p w:rsidR="00C378D0" w:rsidRDefault="00C378D0">
            <w:pPr>
              <w:pStyle w:val="a0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10 чел Х 750Х 2= 15 000 руб.</w:t>
            </w:r>
          </w:p>
          <w:p w:rsidR="00C378D0" w:rsidRDefault="00C378D0">
            <w:pPr>
              <w:pStyle w:val="a0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питание 10 чел Х 400 руб. = 4000 руб.</w:t>
            </w:r>
          </w:p>
        </w:tc>
        <w:tc>
          <w:tcPr>
            <w:tcW w:w="1929" w:type="dxa"/>
            <w:tcBorders>
              <w:left w:val="single" w:sz="4" w:space="0" w:color="000001"/>
              <w:right w:val="nil"/>
            </w:tcBorders>
          </w:tcPr>
          <w:p w:rsidR="00C378D0" w:rsidRDefault="00C378D0">
            <w:pPr>
              <w:pStyle w:val="a0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Проезд участников команды в г. Петрозаводск и обратно</w:t>
            </w:r>
          </w:p>
          <w:p w:rsidR="00C378D0" w:rsidRDefault="00C378D0">
            <w:pPr>
              <w:pStyle w:val="a0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10 чел Х 750Х 2= 15 000 руб.</w:t>
            </w:r>
          </w:p>
          <w:p w:rsidR="00C378D0" w:rsidRDefault="00C378D0">
            <w:pPr>
              <w:pStyle w:val="a0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питание 10 чел Х 400 руб. = 4000 руб.</w:t>
            </w:r>
          </w:p>
        </w:tc>
        <w:tc>
          <w:tcPr>
            <w:tcW w:w="1930" w:type="dxa"/>
            <w:tcBorders>
              <w:left w:val="single" w:sz="4" w:space="0" w:color="000001"/>
              <w:right w:val="single" w:sz="4" w:space="0" w:color="000001"/>
            </w:tcBorders>
          </w:tcPr>
          <w:p w:rsidR="00C378D0" w:rsidRDefault="00C378D0">
            <w:pPr>
              <w:pStyle w:val="a0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Проезд участников команды в г. Петрозаводск и обратно</w:t>
            </w:r>
          </w:p>
          <w:p w:rsidR="00C378D0" w:rsidRDefault="00C378D0">
            <w:pPr>
              <w:pStyle w:val="a0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10 чел Х 750Х 2= 15 000 руб.</w:t>
            </w:r>
          </w:p>
          <w:p w:rsidR="00C378D0" w:rsidRDefault="00C378D0">
            <w:pPr>
              <w:pStyle w:val="a0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питание 10 чел Х 400 руб. = 4000 руб.</w:t>
            </w:r>
          </w:p>
        </w:tc>
      </w:tr>
      <w:tr w:rsidR="00C378D0">
        <w:tc>
          <w:tcPr>
            <w:tcW w:w="1927" w:type="dxa"/>
            <w:gridSpan w:val="2"/>
            <w:tcBorders>
              <w:right w:val="nil"/>
            </w:tcBorders>
          </w:tcPr>
          <w:p w:rsidR="00C378D0" w:rsidRDefault="00C378D0">
            <w:pPr>
              <w:pStyle w:val="a0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Конкурс «ЮИДД»</w:t>
            </w:r>
          </w:p>
        </w:tc>
        <w:tc>
          <w:tcPr>
            <w:tcW w:w="1928" w:type="dxa"/>
            <w:tcBorders>
              <w:left w:val="single" w:sz="4" w:space="0" w:color="000001"/>
              <w:right w:val="nil"/>
            </w:tcBorders>
          </w:tcPr>
          <w:p w:rsidR="00C378D0" w:rsidRDefault="00C378D0">
            <w:pPr>
              <w:pStyle w:val="a0"/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Награждение: </w:t>
            </w:r>
          </w:p>
          <w:p w:rsidR="00C378D0" w:rsidRDefault="00C378D0">
            <w:pPr>
              <w:pStyle w:val="a0"/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грамоты победителям 3Х5 5 руб. = 165 руб.</w:t>
            </w:r>
          </w:p>
          <w:p w:rsidR="00C378D0" w:rsidRDefault="00C378D0">
            <w:pPr>
              <w:pStyle w:val="a0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кубки -  1200 руб.</w:t>
            </w:r>
          </w:p>
          <w:p w:rsidR="00C378D0" w:rsidRDefault="00C378D0">
            <w:pPr>
              <w:pStyle w:val="a0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призы -635 руб.</w:t>
            </w:r>
          </w:p>
        </w:tc>
        <w:tc>
          <w:tcPr>
            <w:tcW w:w="1924" w:type="dxa"/>
            <w:tcBorders>
              <w:left w:val="single" w:sz="4" w:space="0" w:color="000001"/>
              <w:right w:val="nil"/>
            </w:tcBorders>
          </w:tcPr>
          <w:p w:rsidR="00C378D0" w:rsidRDefault="00C378D0">
            <w:pPr>
              <w:pStyle w:val="a0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</w:p>
        </w:tc>
        <w:tc>
          <w:tcPr>
            <w:tcW w:w="1929" w:type="dxa"/>
            <w:tcBorders>
              <w:left w:val="single" w:sz="4" w:space="0" w:color="000001"/>
              <w:right w:val="nil"/>
            </w:tcBorders>
          </w:tcPr>
          <w:p w:rsidR="00C378D0" w:rsidRDefault="00C378D0">
            <w:pPr>
              <w:pStyle w:val="a0"/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Награждение: </w:t>
            </w:r>
          </w:p>
          <w:p w:rsidR="00C378D0" w:rsidRDefault="00C378D0">
            <w:pPr>
              <w:pStyle w:val="a0"/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грамоты победителям 3Х5 5 руб. = 165 руб.</w:t>
            </w:r>
          </w:p>
          <w:p w:rsidR="00C378D0" w:rsidRDefault="00C378D0">
            <w:pPr>
              <w:pStyle w:val="a0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кубки - 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lang w:val="en-US"/>
              </w:rPr>
              <w:t xml:space="preserve">1200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руб.</w:t>
            </w:r>
          </w:p>
        </w:tc>
        <w:tc>
          <w:tcPr>
            <w:tcW w:w="1930" w:type="dxa"/>
            <w:tcBorders>
              <w:left w:val="single" w:sz="4" w:space="0" w:color="000001"/>
              <w:right w:val="single" w:sz="4" w:space="0" w:color="000001"/>
            </w:tcBorders>
          </w:tcPr>
          <w:p w:rsidR="00C378D0" w:rsidRDefault="00C378D0">
            <w:pPr>
              <w:pStyle w:val="a0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</w:p>
        </w:tc>
      </w:tr>
      <w:tr w:rsidR="00C378D0">
        <w:tc>
          <w:tcPr>
            <w:tcW w:w="1927" w:type="dxa"/>
            <w:gridSpan w:val="2"/>
            <w:tcBorders>
              <w:right w:val="nil"/>
            </w:tcBorders>
          </w:tcPr>
          <w:p w:rsidR="00C378D0" w:rsidRDefault="00C378D0">
            <w:pPr>
              <w:pStyle w:val="a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Конкурс на лучшее оформление уголков по БДД среди образовательных организаций</w:t>
            </w:r>
          </w:p>
        </w:tc>
        <w:tc>
          <w:tcPr>
            <w:tcW w:w="1928" w:type="dxa"/>
            <w:tcBorders>
              <w:left w:val="single" w:sz="4" w:space="0" w:color="000001"/>
              <w:right w:val="nil"/>
            </w:tcBorders>
          </w:tcPr>
          <w:p w:rsidR="00C378D0" w:rsidRDefault="00C378D0">
            <w:pPr>
              <w:pStyle w:val="a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Подарочные сертификаты(призовые места) </w:t>
            </w:r>
          </w:p>
          <w:p w:rsidR="00C378D0" w:rsidRDefault="00C378D0">
            <w:pPr>
              <w:pStyle w:val="a0"/>
              <w:rPr>
                <w:rFonts w:ascii="Times New Roman" w:hAnsi="Times New Roman" w:cs="Times New Roman"/>
              </w:rPr>
            </w:pPr>
            <w:bookmarkStart w:id="4" w:name="__DdeLink__596_3824708364"/>
            <w:r>
              <w:rPr>
                <w:rFonts w:ascii="Times New Roman" w:hAnsi="Times New Roman" w:cs="Times New Roman"/>
              </w:rPr>
              <w:t>10000 руб.</w:t>
            </w:r>
            <w:bookmarkEnd w:id="4"/>
          </w:p>
          <w:p w:rsidR="00C378D0" w:rsidRDefault="00C378D0">
            <w:pPr>
              <w:pStyle w:val="a0"/>
            </w:pPr>
          </w:p>
        </w:tc>
        <w:tc>
          <w:tcPr>
            <w:tcW w:w="1924" w:type="dxa"/>
            <w:tcBorders>
              <w:left w:val="single" w:sz="4" w:space="0" w:color="000001"/>
              <w:right w:val="nil"/>
            </w:tcBorders>
          </w:tcPr>
          <w:p w:rsidR="00C378D0" w:rsidRDefault="00C378D0">
            <w:pPr>
              <w:pStyle w:val="a0"/>
            </w:pPr>
          </w:p>
        </w:tc>
        <w:tc>
          <w:tcPr>
            <w:tcW w:w="1929" w:type="dxa"/>
            <w:tcBorders>
              <w:left w:val="single" w:sz="4" w:space="0" w:color="000001"/>
              <w:right w:val="nil"/>
            </w:tcBorders>
          </w:tcPr>
          <w:p w:rsidR="00C378D0" w:rsidRDefault="00C378D0">
            <w:pPr>
              <w:pStyle w:val="a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Подарочные сертификаты(призовые места) </w:t>
            </w:r>
          </w:p>
          <w:p w:rsidR="00C378D0" w:rsidRDefault="00C378D0">
            <w:pPr>
              <w:pStyle w:val="a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10000 руб.</w:t>
            </w:r>
          </w:p>
        </w:tc>
        <w:tc>
          <w:tcPr>
            <w:tcW w:w="1930" w:type="dxa"/>
            <w:tcBorders>
              <w:left w:val="single" w:sz="4" w:space="0" w:color="000001"/>
              <w:right w:val="single" w:sz="4" w:space="0" w:color="000001"/>
            </w:tcBorders>
          </w:tcPr>
          <w:p w:rsidR="00C378D0" w:rsidRDefault="00C378D0">
            <w:pPr>
              <w:pStyle w:val="a0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</w:p>
        </w:tc>
      </w:tr>
      <w:tr w:rsidR="00C378D0">
        <w:trPr>
          <w:gridBefore w:val="1"/>
        </w:trPr>
        <w:tc>
          <w:tcPr>
            <w:tcW w:w="1927" w:type="dxa"/>
            <w:tcBorders>
              <w:right w:val="nil"/>
            </w:tcBorders>
          </w:tcPr>
          <w:p w:rsidR="00C378D0" w:rsidRDefault="00C378D0">
            <w:pPr>
              <w:pStyle w:val="a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Приобретение учебно-методических и наглядных пособий</w:t>
            </w:r>
          </w:p>
        </w:tc>
        <w:tc>
          <w:tcPr>
            <w:tcW w:w="1928" w:type="dxa"/>
            <w:tcBorders>
              <w:left w:val="single" w:sz="4" w:space="0" w:color="000001"/>
              <w:right w:val="nil"/>
            </w:tcBorders>
          </w:tcPr>
          <w:p w:rsidR="00C378D0" w:rsidRDefault="00C378D0">
            <w:pPr>
              <w:pStyle w:val="a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20000руб.</w:t>
            </w:r>
          </w:p>
        </w:tc>
        <w:tc>
          <w:tcPr>
            <w:tcW w:w="1924" w:type="dxa"/>
            <w:tcBorders>
              <w:left w:val="single" w:sz="4" w:space="0" w:color="000001"/>
              <w:right w:val="nil"/>
            </w:tcBorders>
          </w:tcPr>
          <w:p w:rsidR="00C378D0" w:rsidRDefault="00C378D0">
            <w:pPr>
              <w:pStyle w:val="a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10000руб.</w:t>
            </w:r>
          </w:p>
        </w:tc>
        <w:tc>
          <w:tcPr>
            <w:tcW w:w="1929" w:type="dxa"/>
            <w:tcBorders>
              <w:left w:val="single" w:sz="4" w:space="0" w:color="000001"/>
              <w:right w:val="nil"/>
            </w:tcBorders>
          </w:tcPr>
          <w:p w:rsidR="00C378D0" w:rsidRDefault="00C378D0">
            <w:pPr>
              <w:pStyle w:val="a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10000руб.</w:t>
            </w:r>
          </w:p>
        </w:tc>
        <w:tc>
          <w:tcPr>
            <w:tcW w:w="1930" w:type="dxa"/>
            <w:tcBorders>
              <w:left w:val="single" w:sz="4" w:space="0" w:color="000001"/>
              <w:right w:val="single" w:sz="4" w:space="0" w:color="000001"/>
            </w:tcBorders>
          </w:tcPr>
          <w:p w:rsidR="00C378D0" w:rsidRDefault="00C378D0">
            <w:pPr>
              <w:pStyle w:val="a0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10000руб.</w:t>
            </w:r>
          </w:p>
        </w:tc>
      </w:tr>
      <w:tr w:rsidR="00C378D0">
        <w:trPr>
          <w:gridBefore w:val="1"/>
        </w:trPr>
        <w:tc>
          <w:tcPr>
            <w:tcW w:w="1927" w:type="dxa"/>
            <w:tcBorders>
              <w:right w:val="nil"/>
            </w:tcBorders>
          </w:tcPr>
          <w:p w:rsidR="00C378D0" w:rsidRDefault="00C378D0">
            <w:pPr>
              <w:pStyle w:val="a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Оборудование пешеходного перехода современными техническими средствами</w:t>
            </w:r>
          </w:p>
        </w:tc>
        <w:tc>
          <w:tcPr>
            <w:tcW w:w="1928" w:type="dxa"/>
            <w:tcBorders>
              <w:left w:val="single" w:sz="4" w:space="0" w:color="000001"/>
              <w:right w:val="nil"/>
            </w:tcBorders>
          </w:tcPr>
          <w:p w:rsidR="00C378D0" w:rsidRDefault="00C378D0">
            <w:pPr>
              <w:pStyle w:val="a0"/>
              <w:rPr>
                <w:rFonts w:ascii="Times New Roman" w:hAnsi="Times New Roman" w:cs="Times New Roman"/>
              </w:rPr>
            </w:pPr>
          </w:p>
        </w:tc>
        <w:tc>
          <w:tcPr>
            <w:tcW w:w="1924" w:type="dxa"/>
            <w:tcBorders>
              <w:left w:val="single" w:sz="4" w:space="0" w:color="000001"/>
              <w:right w:val="nil"/>
            </w:tcBorders>
          </w:tcPr>
          <w:p w:rsidR="00C378D0" w:rsidRDefault="00C378D0">
            <w:pPr>
              <w:pStyle w:val="a0"/>
              <w:rPr>
                <w:rFonts w:ascii="Times New Roman" w:hAnsi="Times New Roman" w:cs="Times New Roman"/>
              </w:rPr>
            </w:pPr>
          </w:p>
        </w:tc>
        <w:tc>
          <w:tcPr>
            <w:tcW w:w="1929" w:type="dxa"/>
            <w:tcBorders>
              <w:left w:val="single" w:sz="4" w:space="0" w:color="000001"/>
              <w:right w:val="nil"/>
            </w:tcBorders>
          </w:tcPr>
          <w:p w:rsidR="00C378D0" w:rsidRDefault="00C378D0">
            <w:pPr>
              <w:pStyle w:val="a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50000 руб.</w:t>
            </w:r>
          </w:p>
        </w:tc>
        <w:tc>
          <w:tcPr>
            <w:tcW w:w="1930" w:type="dxa"/>
            <w:tcBorders>
              <w:left w:val="single" w:sz="4" w:space="0" w:color="000001"/>
              <w:right w:val="single" w:sz="4" w:space="0" w:color="000001"/>
            </w:tcBorders>
          </w:tcPr>
          <w:p w:rsidR="00C378D0" w:rsidRDefault="00C378D0">
            <w:pPr>
              <w:pStyle w:val="a0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</w:p>
        </w:tc>
      </w:tr>
      <w:tr w:rsidR="00C378D0">
        <w:trPr>
          <w:gridBefore w:val="1"/>
        </w:trPr>
        <w:tc>
          <w:tcPr>
            <w:tcW w:w="1927" w:type="dxa"/>
            <w:tcBorders>
              <w:right w:val="nil"/>
            </w:tcBorders>
          </w:tcPr>
          <w:p w:rsidR="00C378D0" w:rsidRDefault="00C378D0">
            <w:pPr>
              <w:pStyle w:val="a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Установка предупреждающих аншлагов</w:t>
            </w:r>
          </w:p>
        </w:tc>
        <w:tc>
          <w:tcPr>
            <w:tcW w:w="1928" w:type="dxa"/>
            <w:tcBorders>
              <w:left w:val="single" w:sz="4" w:space="0" w:color="000001"/>
              <w:right w:val="nil"/>
            </w:tcBorders>
          </w:tcPr>
          <w:p w:rsidR="00C378D0" w:rsidRDefault="00C378D0">
            <w:pPr>
              <w:pStyle w:val="a0"/>
              <w:rPr>
                <w:rFonts w:ascii="Times New Roman" w:hAnsi="Times New Roman" w:cs="Times New Roman"/>
              </w:rPr>
            </w:pPr>
          </w:p>
        </w:tc>
        <w:tc>
          <w:tcPr>
            <w:tcW w:w="1924" w:type="dxa"/>
            <w:tcBorders>
              <w:left w:val="single" w:sz="4" w:space="0" w:color="000001"/>
              <w:right w:val="nil"/>
            </w:tcBorders>
          </w:tcPr>
          <w:p w:rsidR="00C378D0" w:rsidRDefault="00C378D0">
            <w:pPr>
              <w:pStyle w:val="a0"/>
              <w:rPr>
                <w:rFonts w:ascii="Times New Roman" w:hAnsi="Times New Roman" w:cs="Times New Roman"/>
              </w:rPr>
            </w:pPr>
          </w:p>
        </w:tc>
        <w:tc>
          <w:tcPr>
            <w:tcW w:w="1929" w:type="dxa"/>
            <w:tcBorders>
              <w:left w:val="single" w:sz="4" w:space="0" w:color="000001"/>
              <w:right w:val="nil"/>
            </w:tcBorders>
          </w:tcPr>
          <w:p w:rsidR="00C378D0" w:rsidRDefault="00C378D0">
            <w:pPr>
              <w:pStyle w:val="a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20000</w:t>
            </w:r>
          </w:p>
        </w:tc>
        <w:tc>
          <w:tcPr>
            <w:tcW w:w="1930" w:type="dxa"/>
            <w:tcBorders>
              <w:left w:val="single" w:sz="4" w:space="0" w:color="000001"/>
              <w:right w:val="single" w:sz="4" w:space="0" w:color="000001"/>
            </w:tcBorders>
          </w:tcPr>
          <w:p w:rsidR="00C378D0" w:rsidRDefault="00C378D0">
            <w:pPr>
              <w:pStyle w:val="a0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20000</w:t>
            </w:r>
          </w:p>
        </w:tc>
      </w:tr>
    </w:tbl>
    <w:p w:rsidR="00C378D0" w:rsidRDefault="00C378D0" w:rsidP="002368DF">
      <w:pPr>
        <w:shd w:val="clear" w:color="auto" w:fill="FFFFFF"/>
        <w:tabs>
          <w:tab w:val="left" w:pos="567"/>
        </w:tabs>
        <w:spacing w:after="0" w:line="274" w:lineRule="exact"/>
        <w:ind w:right="19"/>
        <w:jc w:val="both"/>
        <w:rPr>
          <w:rFonts w:ascii="Times New Roman" w:hAnsi="Times New Roman" w:cs="Times New Roman"/>
          <w:sz w:val="24"/>
          <w:szCs w:val="24"/>
        </w:rPr>
      </w:pPr>
    </w:p>
    <w:p w:rsidR="00C378D0" w:rsidRDefault="00C378D0" w:rsidP="002368DF">
      <w:pPr>
        <w:shd w:val="clear" w:color="auto" w:fill="FFFFFF"/>
        <w:tabs>
          <w:tab w:val="left" w:pos="567"/>
        </w:tabs>
        <w:spacing w:after="0" w:line="274" w:lineRule="exact"/>
        <w:ind w:right="19"/>
        <w:jc w:val="both"/>
        <w:rPr>
          <w:rFonts w:ascii="Times New Roman" w:hAnsi="Times New Roman" w:cs="Times New Roman"/>
          <w:sz w:val="24"/>
          <w:szCs w:val="24"/>
        </w:rPr>
      </w:pPr>
    </w:p>
    <w:p w:rsidR="00C378D0" w:rsidRDefault="00C378D0" w:rsidP="002368DF">
      <w:pPr>
        <w:widowControl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РАЗДЕЛ 7</w:t>
      </w:r>
    </w:p>
    <w:p w:rsidR="00C378D0" w:rsidRDefault="00C378D0" w:rsidP="002368DF">
      <w:pPr>
        <w:pStyle w:val="ListParagraph"/>
        <w:widowControl w:val="0"/>
        <w:spacing w:after="0" w:line="240" w:lineRule="auto"/>
        <w:ind w:left="1080"/>
        <w:outlineLvl w:val="2"/>
        <w:rPr>
          <w:rFonts w:ascii="Times New Roman" w:hAnsi="Times New Roman" w:cs="Times New Roman"/>
          <w:b/>
          <w:bCs/>
          <w:sz w:val="24"/>
          <w:szCs w:val="24"/>
        </w:rPr>
      </w:pPr>
    </w:p>
    <w:p w:rsidR="00C378D0" w:rsidRDefault="00C378D0" w:rsidP="002368DF">
      <w:pPr>
        <w:pStyle w:val="ListParagraph"/>
        <w:widowControl w:val="0"/>
        <w:spacing w:after="0" w:line="240" w:lineRule="auto"/>
        <w:ind w:left="1800"/>
        <w:jc w:val="center"/>
        <w:outlineLvl w:val="2"/>
      </w:pPr>
      <w:r>
        <w:rPr>
          <w:rFonts w:ascii="Times New Roman" w:hAnsi="Times New Roman" w:cs="Times New Roman"/>
          <w:b/>
          <w:bCs/>
          <w:sz w:val="24"/>
          <w:szCs w:val="24"/>
        </w:rPr>
        <w:t>Обеспечение контроля над реализацией Программы</w:t>
      </w:r>
    </w:p>
    <w:p w:rsidR="00C378D0" w:rsidRDefault="00C378D0" w:rsidP="002368DF">
      <w:pPr>
        <w:shd w:val="clear" w:color="auto" w:fill="FFFFFF"/>
        <w:tabs>
          <w:tab w:val="left" w:pos="902"/>
        </w:tabs>
        <w:spacing w:after="0" w:line="274" w:lineRule="exact"/>
        <w:ind w:left="5" w:right="19" w:firstLine="538"/>
        <w:jc w:val="both"/>
      </w:pPr>
      <w:r>
        <w:rPr>
          <w:rFonts w:ascii="Times New Roman" w:hAnsi="Times New Roman" w:cs="Times New Roman"/>
          <w:sz w:val="24"/>
          <w:szCs w:val="24"/>
        </w:rPr>
        <w:t>Отдел мобилизационной работы, территориальной безопасности, ГО и ЧС Администрации Лахденпохского муниципального района обеспечивает координацию и мониторинг работ по выполнению Программы, вносит в установленном порядке предложения по изменению мероприятий Программы, суммы субсидии, с учетом складывающейся социально-экономической ситуации и предоставляет информацию по выполнению программы в первом квартале    2020, 2021, 2022, 2023, 2024  годов, размещает на официальном сайте администрации   информацию о муниципальной программе, ходе её реализации, достижении значений показателей (индикаторов) муниципальной программы, степени выполнения мероприятий муниципальной программы.</w:t>
      </w:r>
    </w:p>
    <w:p w:rsidR="00C378D0" w:rsidRDefault="00C378D0" w:rsidP="002368DF">
      <w:pPr>
        <w:shd w:val="clear" w:color="auto" w:fill="FFFFFF"/>
        <w:tabs>
          <w:tab w:val="left" w:pos="902"/>
        </w:tabs>
        <w:spacing w:after="0" w:line="274" w:lineRule="exact"/>
        <w:ind w:left="5" w:right="19" w:firstLine="538"/>
        <w:jc w:val="both"/>
        <w:rPr>
          <w:rFonts w:ascii="Times New Roman" w:hAnsi="Times New Roman" w:cs="Times New Roman"/>
          <w:sz w:val="24"/>
          <w:szCs w:val="24"/>
        </w:rPr>
      </w:pPr>
    </w:p>
    <w:p w:rsidR="00C378D0" w:rsidRDefault="00C378D0" w:rsidP="002368DF">
      <w:pPr>
        <w:pStyle w:val="ListParagraph"/>
        <w:shd w:val="clear" w:color="auto" w:fill="FFFFFF"/>
        <w:tabs>
          <w:tab w:val="left" w:pos="902"/>
        </w:tabs>
        <w:spacing w:after="0" w:line="274" w:lineRule="exact"/>
        <w:ind w:left="1440" w:right="19"/>
        <w:jc w:val="center"/>
      </w:pPr>
      <w:r>
        <w:rPr>
          <w:rFonts w:ascii="Times New Roman" w:hAnsi="Times New Roman" w:cs="Times New Roman"/>
          <w:sz w:val="24"/>
          <w:szCs w:val="24"/>
        </w:rPr>
        <w:t>РАЗДЕЛ 8</w:t>
      </w:r>
    </w:p>
    <w:p w:rsidR="00C378D0" w:rsidRDefault="00C378D0" w:rsidP="002368DF">
      <w:pPr>
        <w:pStyle w:val="ListParagraph"/>
        <w:shd w:val="clear" w:color="auto" w:fill="FFFFFF"/>
        <w:tabs>
          <w:tab w:val="left" w:pos="902"/>
        </w:tabs>
        <w:spacing w:after="0" w:line="274" w:lineRule="exact"/>
        <w:ind w:left="1440" w:right="19"/>
        <w:jc w:val="center"/>
      </w:pPr>
      <w:r>
        <w:rPr>
          <w:rFonts w:ascii="Times New Roman" w:hAnsi="Times New Roman" w:cs="Times New Roman"/>
          <w:b/>
          <w:bCs/>
          <w:sz w:val="24"/>
          <w:szCs w:val="24"/>
        </w:rPr>
        <w:t>Оценка планируемой эффективности реализации Программы</w:t>
      </w:r>
    </w:p>
    <w:p w:rsidR="00C378D0" w:rsidRDefault="00C378D0" w:rsidP="002368DF">
      <w:pPr>
        <w:tabs>
          <w:tab w:val="left" w:pos="993"/>
        </w:tabs>
        <w:spacing w:after="0" w:line="240" w:lineRule="auto"/>
        <w:ind w:firstLine="540"/>
        <w:jc w:val="both"/>
      </w:pPr>
      <w:r>
        <w:rPr>
          <w:rFonts w:ascii="Times New Roman" w:hAnsi="Times New Roman" w:cs="Times New Roman"/>
          <w:sz w:val="24"/>
          <w:szCs w:val="24"/>
        </w:rPr>
        <w:t>1.</w:t>
      </w:r>
      <w:r>
        <w:rPr>
          <w:rFonts w:ascii="Times New Roman" w:hAnsi="Times New Roman" w:cs="Times New Roman"/>
          <w:sz w:val="24"/>
          <w:szCs w:val="24"/>
        </w:rPr>
        <w:tab/>
        <w:t>Оценка эффективности реализации Программы осуществляется в целях контроля, прогноза достижения результатов реализации и своевременного принятия мер по повышению эффективности расходования бюджетных средств и характеризует уровень достижения целевых индикаторов Программы, показателей результатов задач Программы, показателей эффективности Программы.</w:t>
      </w:r>
    </w:p>
    <w:p w:rsidR="00C378D0" w:rsidRDefault="00C378D0" w:rsidP="002368DF">
      <w:pPr>
        <w:spacing w:after="0" w:line="240" w:lineRule="auto"/>
        <w:ind w:firstLine="540"/>
        <w:jc w:val="both"/>
      </w:pPr>
      <w:r>
        <w:rPr>
          <w:rFonts w:ascii="Times New Roman" w:hAnsi="Times New Roman" w:cs="Times New Roman"/>
          <w:sz w:val="24"/>
          <w:szCs w:val="24"/>
        </w:rPr>
        <w:t>2. Оценка эффективности реализации Программы ежегодно осуществляется отделом экономики на основании данных годовых отчетов о ходе реализации и об оценке эффективности реализации Программы (далее - отчеты) с учетом информации финансового управления в части финансового обеспечения.</w:t>
      </w:r>
    </w:p>
    <w:p w:rsidR="00C378D0" w:rsidRDefault="00C378D0" w:rsidP="002368DF">
      <w:pPr>
        <w:spacing w:after="0" w:line="240" w:lineRule="auto"/>
        <w:ind w:firstLine="540"/>
        <w:jc w:val="both"/>
      </w:pPr>
      <w:r>
        <w:rPr>
          <w:rFonts w:ascii="Times New Roman" w:hAnsi="Times New Roman" w:cs="Times New Roman"/>
          <w:sz w:val="24"/>
          <w:szCs w:val="24"/>
        </w:rPr>
        <w:t>3. Оценка эффективности реализации Программы осуществляется по следующей формуле:</w:t>
      </w:r>
    </w:p>
    <w:p w:rsidR="00C378D0" w:rsidRDefault="00C378D0" w:rsidP="002368DF">
      <w:pPr>
        <w:spacing w:after="0" w:line="240" w:lineRule="auto"/>
        <w:ind w:firstLine="540"/>
        <w:jc w:val="both"/>
        <w:rPr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R = SUM (Yi x Bi), </w:t>
      </w:r>
      <w:r>
        <w:rPr>
          <w:rFonts w:ascii="Times New Roman" w:hAnsi="Times New Roman" w:cs="Times New Roman"/>
          <w:sz w:val="24"/>
          <w:szCs w:val="24"/>
        </w:rPr>
        <w:t>где</w:t>
      </w:r>
      <w:r>
        <w:rPr>
          <w:rFonts w:ascii="Times New Roman" w:hAnsi="Times New Roman" w:cs="Times New Roman"/>
          <w:sz w:val="24"/>
          <w:szCs w:val="24"/>
          <w:lang w:val="en-US"/>
        </w:rPr>
        <w:t>:</w:t>
      </w:r>
    </w:p>
    <w:p w:rsidR="00C378D0" w:rsidRDefault="00C378D0" w:rsidP="002368DF">
      <w:pPr>
        <w:spacing w:after="0" w:line="240" w:lineRule="auto"/>
        <w:ind w:firstLine="540"/>
        <w:jc w:val="both"/>
      </w:pPr>
      <w:r>
        <w:rPr>
          <w:rFonts w:ascii="Times New Roman" w:hAnsi="Times New Roman" w:cs="Times New Roman"/>
          <w:sz w:val="24"/>
          <w:szCs w:val="24"/>
        </w:rPr>
        <w:t>R - оценка эффективности реализации муниципальной программы;</w:t>
      </w:r>
    </w:p>
    <w:p w:rsidR="00C378D0" w:rsidRDefault="00C378D0" w:rsidP="002368DF">
      <w:pPr>
        <w:spacing w:after="0" w:line="240" w:lineRule="auto"/>
        <w:ind w:firstLine="540"/>
        <w:jc w:val="both"/>
      </w:pPr>
      <w:r>
        <w:rPr>
          <w:rFonts w:ascii="Times New Roman" w:hAnsi="Times New Roman" w:cs="Times New Roman"/>
          <w:sz w:val="24"/>
          <w:szCs w:val="24"/>
        </w:rPr>
        <w:t>Yi - весовое значение соответствующего (i) критерия;</w:t>
      </w:r>
    </w:p>
    <w:p w:rsidR="00C378D0" w:rsidRDefault="00C378D0" w:rsidP="002368DF">
      <w:pPr>
        <w:spacing w:after="0" w:line="240" w:lineRule="auto"/>
        <w:ind w:firstLine="540"/>
        <w:jc w:val="both"/>
      </w:pPr>
      <w:r>
        <w:rPr>
          <w:rFonts w:ascii="Times New Roman" w:hAnsi="Times New Roman" w:cs="Times New Roman"/>
          <w:sz w:val="24"/>
          <w:szCs w:val="24"/>
        </w:rPr>
        <w:t>Bi - балл по соответствующему (i) критерию.</w:t>
      </w:r>
    </w:p>
    <w:p w:rsidR="00C378D0" w:rsidRDefault="00C378D0" w:rsidP="002368DF">
      <w:pPr>
        <w:spacing w:after="0" w:line="240" w:lineRule="auto"/>
        <w:ind w:firstLine="540"/>
        <w:jc w:val="both"/>
      </w:pPr>
      <w:r>
        <w:rPr>
          <w:rFonts w:ascii="Times New Roman" w:hAnsi="Times New Roman" w:cs="Times New Roman"/>
          <w:sz w:val="24"/>
          <w:szCs w:val="24"/>
        </w:rPr>
        <w:t>4. Критериями оценки эффективности реализации Программы являются:</w:t>
      </w:r>
    </w:p>
    <w:p w:rsidR="00C378D0" w:rsidRDefault="00C378D0" w:rsidP="002368DF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720" w:type="dxa"/>
        <w:tblInd w:w="2" w:type="dxa"/>
        <w:tblBorders>
          <w:top w:val="single" w:sz="8" w:space="0" w:color="00000A"/>
          <w:left w:val="single" w:sz="8" w:space="0" w:color="00000A"/>
          <w:bottom w:val="single" w:sz="8" w:space="0" w:color="00000A"/>
          <w:right w:val="single" w:sz="8" w:space="0" w:color="00000A"/>
          <w:insideH w:val="single" w:sz="8" w:space="0" w:color="00000A"/>
          <w:insideV w:val="single" w:sz="8" w:space="0" w:color="00000A"/>
        </w:tblBorders>
        <w:tblCellMar>
          <w:left w:w="65" w:type="dxa"/>
          <w:right w:w="75" w:type="dxa"/>
        </w:tblCellMar>
        <w:tblLook w:val="0000"/>
      </w:tblPr>
      <w:tblGrid>
        <w:gridCol w:w="615"/>
        <w:gridCol w:w="1230"/>
        <w:gridCol w:w="1845"/>
        <w:gridCol w:w="4770"/>
        <w:gridCol w:w="1260"/>
      </w:tblGrid>
      <w:tr w:rsidR="00C378D0">
        <w:trPr>
          <w:trHeight w:val="800"/>
        </w:trPr>
        <w:tc>
          <w:tcPr>
            <w:tcW w:w="615" w:type="dxa"/>
          </w:tcPr>
          <w:p w:rsidR="00C378D0" w:rsidRDefault="00C378D0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</w:t>
            </w:r>
          </w:p>
          <w:p w:rsidR="00C378D0" w:rsidRDefault="00C378D0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1230" w:type="dxa"/>
          </w:tcPr>
          <w:p w:rsidR="00C378D0" w:rsidRDefault="00C378D0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Весовое</w:t>
            </w:r>
          </w:p>
          <w:p w:rsidR="00C378D0" w:rsidRDefault="00C378D0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значение</w:t>
            </w:r>
          </w:p>
          <w:p w:rsidR="00C378D0" w:rsidRDefault="00C378D0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критерия</w:t>
            </w:r>
          </w:p>
          <w:p w:rsidR="00C378D0" w:rsidRDefault="00C378D0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(Y)</w:t>
            </w:r>
          </w:p>
        </w:tc>
        <w:tc>
          <w:tcPr>
            <w:tcW w:w="1845" w:type="dxa"/>
          </w:tcPr>
          <w:p w:rsidR="00C378D0" w:rsidRDefault="00C378D0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  <w:p w:rsidR="00C378D0" w:rsidRDefault="00C378D0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критерия</w:t>
            </w:r>
          </w:p>
        </w:tc>
        <w:tc>
          <w:tcPr>
            <w:tcW w:w="4770" w:type="dxa"/>
          </w:tcPr>
          <w:p w:rsidR="00C378D0" w:rsidRDefault="00C378D0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Значение критерия</w:t>
            </w:r>
          </w:p>
        </w:tc>
        <w:tc>
          <w:tcPr>
            <w:tcW w:w="1260" w:type="dxa"/>
          </w:tcPr>
          <w:p w:rsidR="00C378D0" w:rsidRDefault="00C378D0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Балльная</w:t>
            </w:r>
          </w:p>
          <w:p w:rsidR="00C378D0" w:rsidRDefault="00C378D0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оценка</w:t>
            </w:r>
          </w:p>
          <w:p w:rsidR="00C378D0" w:rsidRDefault="00C378D0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(B)</w:t>
            </w:r>
          </w:p>
        </w:tc>
      </w:tr>
      <w:tr w:rsidR="00C378D0">
        <w:trPr>
          <w:trHeight w:val="769"/>
        </w:trPr>
        <w:tc>
          <w:tcPr>
            <w:tcW w:w="615" w:type="dxa"/>
            <w:vMerge w:val="restart"/>
          </w:tcPr>
          <w:p w:rsidR="00C378D0" w:rsidRDefault="00C378D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1.</w:t>
            </w:r>
          </w:p>
        </w:tc>
        <w:tc>
          <w:tcPr>
            <w:tcW w:w="1230" w:type="dxa"/>
            <w:vMerge w:val="restart"/>
          </w:tcPr>
          <w:p w:rsidR="00C378D0" w:rsidRDefault="00C378D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Y1=0,35 </w:t>
            </w:r>
          </w:p>
        </w:tc>
        <w:tc>
          <w:tcPr>
            <w:tcW w:w="1845" w:type="dxa"/>
            <w:vMerge w:val="restart"/>
          </w:tcPr>
          <w:p w:rsidR="00C378D0" w:rsidRDefault="00C378D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достижение   </w:t>
            </w:r>
          </w:p>
          <w:p w:rsidR="00C378D0" w:rsidRDefault="00C378D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целевых      </w:t>
            </w:r>
          </w:p>
          <w:p w:rsidR="00C378D0" w:rsidRDefault="00C378D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индикаторов  </w:t>
            </w:r>
          </w:p>
          <w:p w:rsidR="00C378D0" w:rsidRDefault="00C378D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Программы в  </w:t>
            </w:r>
          </w:p>
          <w:p w:rsidR="00C378D0" w:rsidRDefault="00C378D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отчетном году</w:t>
            </w:r>
          </w:p>
          <w:p w:rsidR="00C378D0" w:rsidRDefault="00C378D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(X1)         </w:t>
            </w:r>
          </w:p>
        </w:tc>
        <w:tc>
          <w:tcPr>
            <w:tcW w:w="4770" w:type="dxa"/>
          </w:tcPr>
          <w:p w:rsidR="00C378D0" w:rsidRDefault="00C378D0">
            <w:pPr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100% целевых индикаторов в отчетном году соответствуют или выше утвержденных Программой   </w:t>
            </w:r>
          </w:p>
        </w:tc>
        <w:tc>
          <w:tcPr>
            <w:tcW w:w="1260" w:type="dxa"/>
          </w:tcPr>
          <w:p w:rsidR="00C378D0" w:rsidRDefault="00C378D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10   </w:t>
            </w:r>
          </w:p>
        </w:tc>
      </w:tr>
      <w:tr w:rsidR="00C378D0">
        <w:trPr>
          <w:trHeight w:val="871"/>
        </w:trPr>
        <w:tc>
          <w:tcPr>
            <w:tcW w:w="0" w:type="auto"/>
            <w:vMerge/>
            <w:vAlign w:val="center"/>
          </w:tcPr>
          <w:p w:rsidR="00C378D0" w:rsidRDefault="00C378D0">
            <w:pPr>
              <w:spacing w:after="0" w:line="240" w:lineRule="auto"/>
            </w:pPr>
          </w:p>
        </w:tc>
        <w:tc>
          <w:tcPr>
            <w:tcW w:w="0" w:type="auto"/>
            <w:vMerge/>
            <w:vAlign w:val="center"/>
          </w:tcPr>
          <w:p w:rsidR="00C378D0" w:rsidRDefault="00C378D0">
            <w:pPr>
              <w:spacing w:after="0" w:line="240" w:lineRule="auto"/>
            </w:pPr>
          </w:p>
        </w:tc>
        <w:tc>
          <w:tcPr>
            <w:tcW w:w="0" w:type="auto"/>
            <w:vMerge/>
            <w:vAlign w:val="center"/>
          </w:tcPr>
          <w:p w:rsidR="00C378D0" w:rsidRDefault="00C378D0">
            <w:pPr>
              <w:spacing w:after="0" w:line="240" w:lineRule="auto"/>
            </w:pPr>
          </w:p>
        </w:tc>
        <w:tc>
          <w:tcPr>
            <w:tcW w:w="4770" w:type="dxa"/>
          </w:tcPr>
          <w:p w:rsidR="00C378D0" w:rsidRDefault="00C378D0">
            <w:pPr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более 80% целевых индикаторов в отчетном году соответствуют или выше утвержденных Программой                         </w:t>
            </w:r>
          </w:p>
        </w:tc>
        <w:tc>
          <w:tcPr>
            <w:tcW w:w="1260" w:type="dxa"/>
          </w:tcPr>
          <w:p w:rsidR="00C378D0" w:rsidRDefault="00C378D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6   </w:t>
            </w:r>
          </w:p>
        </w:tc>
      </w:tr>
      <w:tr w:rsidR="00C378D0">
        <w:trPr>
          <w:trHeight w:val="875"/>
        </w:trPr>
        <w:tc>
          <w:tcPr>
            <w:tcW w:w="0" w:type="auto"/>
            <w:vMerge/>
            <w:vAlign w:val="center"/>
          </w:tcPr>
          <w:p w:rsidR="00C378D0" w:rsidRDefault="00C378D0">
            <w:pPr>
              <w:spacing w:after="0" w:line="240" w:lineRule="auto"/>
            </w:pPr>
          </w:p>
        </w:tc>
        <w:tc>
          <w:tcPr>
            <w:tcW w:w="0" w:type="auto"/>
            <w:vMerge/>
            <w:vAlign w:val="center"/>
          </w:tcPr>
          <w:p w:rsidR="00C378D0" w:rsidRDefault="00C378D0">
            <w:pPr>
              <w:spacing w:after="0" w:line="240" w:lineRule="auto"/>
            </w:pPr>
          </w:p>
        </w:tc>
        <w:tc>
          <w:tcPr>
            <w:tcW w:w="0" w:type="auto"/>
            <w:vMerge/>
            <w:vAlign w:val="center"/>
          </w:tcPr>
          <w:p w:rsidR="00C378D0" w:rsidRDefault="00C378D0">
            <w:pPr>
              <w:spacing w:after="0" w:line="240" w:lineRule="auto"/>
            </w:pPr>
          </w:p>
        </w:tc>
        <w:tc>
          <w:tcPr>
            <w:tcW w:w="4770" w:type="dxa"/>
          </w:tcPr>
          <w:p w:rsidR="00C378D0" w:rsidRDefault="00C378D0">
            <w:pPr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 до 79% целевых индикаторов  в отчетном году соответствуют или выше утвержденных Программой                         </w:t>
            </w:r>
          </w:p>
        </w:tc>
        <w:tc>
          <w:tcPr>
            <w:tcW w:w="1260" w:type="dxa"/>
          </w:tcPr>
          <w:p w:rsidR="00C378D0" w:rsidRDefault="00C378D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3   </w:t>
            </w:r>
          </w:p>
        </w:tc>
      </w:tr>
      <w:tr w:rsidR="00C378D0">
        <w:trPr>
          <w:trHeight w:val="1000"/>
        </w:trPr>
        <w:tc>
          <w:tcPr>
            <w:tcW w:w="0" w:type="auto"/>
            <w:vMerge/>
            <w:vAlign w:val="center"/>
          </w:tcPr>
          <w:p w:rsidR="00C378D0" w:rsidRDefault="00C378D0">
            <w:pPr>
              <w:spacing w:after="0" w:line="240" w:lineRule="auto"/>
            </w:pPr>
          </w:p>
        </w:tc>
        <w:tc>
          <w:tcPr>
            <w:tcW w:w="0" w:type="auto"/>
            <w:vMerge/>
            <w:vAlign w:val="center"/>
          </w:tcPr>
          <w:p w:rsidR="00C378D0" w:rsidRDefault="00C378D0">
            <w:pPr>
              <w:spacing w:after="0" w:line="240" w:lineRule="auto"/>
            </w:pPr>
          </w:p>
        </w:tc>
        <w:tc>
          <w:tcPr>
            <w:tcW w:w="0" w:type="auto"/>
            <w:vMerge/>
            <w:vAlign w:val="center"/>
          </w:tcPr>
          <w:p w:rsidR="00C378D0" w:rsidRDefault="00C378D0">
            <w:pPr>
              <w:spacing w:after="0" w:line="240" w:lineRule="auto"/>
            </w:pPr>
          </w:p>
        </w:tc>
        <w:tc>
          <w:tcPr>
            <w:tcW w:w="4770" w:type="dxa"/>
          </w:tcPr>
          <w:p w:rsidR="00C378D0" w:rsidRDefault="00C378D0">
            <w:pPr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менее 50% целевых индикаторов в отчетном году соответствуют или  выше утвержденных Программой либо показатели         </w:t>
            </w:r>
          </w:p>
          <w:p w:rsidR="00C378D0" w:rsidRDefault="00C378D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достижения целей не установлены    </w:t>
            </w:r>
          </w:p>
        </w:tc>
        <w:tc>
          <w:tcPr>
            <w:tcW w:w="1260" w:type="dxa"/>
          </w:tcPr>
          <w:p w:rsidR="00C378D0" w:rsidRDefault="00C378D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0   </w:t>
            </w:r>
          </w:p>
        </w:tc>
      </w:tr>
      <w:tr w:rsidR="00C378D0">
        <w:trPr>
          <w:trHeight w:val="743"/>
        </w:trPr>
        <w:tc>
          <w:tcPr>
            <w:tcW w:w="615" w:type="dxa"/>
            <w:vMerge w:val="restart"/>
          </w:tcPr>
          <w:p w:rsidR="00C378D0" w:rsidRDefault="00C378D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2.</w:t>
            </w:r>
          </w:p>
        </w:tc>
        <w:tc>
          <w:tcPr>
            <w:tcW w:w="1230" w:type="dxa"/>
            <w:vMerge w:val="restart"/>
          </w:tcPr>
          <w:p w:rsidR="00C378D0" w:rsidRDefault="00C378D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Y2=0,3  </w:t>
            </w:r>
          </w:p>
        </w:tc>
        <w:tc>
          <w:tcPr>
            <w:tcW w:w="1845" w:type="dxa"/>
            <w:vMerge w:val="restart"/>
          </w:tcPr>
          <w:p w:rsidR="00C378D0" w:rsidRDefault="00C378D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достижение   </w:t>
            </w:r>
          </w:p>
          <w:p w:rsidR="00C378D0" w:rsidRDefault="00C378D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показателей  </w:t>
            </w:r>
          </w:p>
          <w:p w:rsidR="00C378D0" w:rsidRDefault="00C378D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результатов  </w:t>
            </w:r>
          </w:p>
          <w:p w:rsidR="00C378D0" w:rsidRDefault="00C378D0">
            <w:pPr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Программы в  </w:t>
            </w:r>
          </w:p>
          <w:p w:rsidR="00C378D0" w:rsidRDefault="00C378D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отчетном     </w:t>
            </w:r>
          </w:p>
          <w:p w:rsidR="00C378D0" w:rsidRDefault="00C378D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году (X2)    </w:t>
            </w:r>
          </w:p>
        </w:tc>
        <w:tc>
          <w:tcPr>
            <w:tcW w:w="4770" w:type="dxa"/>
          </w:tcPr>
          <w:p w:rsidR="00C378D0" w:rsidRDefault="00C378D0">
            <w:pPr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100% показателей результатов в отчетном году соответствуют или выше утвержденных Программой </w:t>
            </w:r>
          </w:p>
        </w:tc>
        <w:tc>
          <w:tcPr>
            <w:tcW w:w="1260" w:type="dxa"/>
          </w:tcPr>
          <w:p w:rsidR="00C378D0" w:rsidRDefault="00C378D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10   </w:t>
            </w:r>
          </w:p>
        </w:tc>
      </w:tr>
      <w:tr w:rsidR="00C378D0">
        <w:trPr>
          <w:trHeight w:val="872"/>
        </w:trPr>
        <w:tc>
          <w:tcPr>
            <w:tcW w:w="0" w:type="auto"/>
            <w:vMerge/>
            <w:vAlign w:val="center"/>
          </w:tcPr>
          <w:p w:rsidR="00C378D0" w:rsidRDefault="00C378D0">
            <w:pPr>
              <w:spacing w:after="0" w:line="240" w:lineRule="auto"/>
            </w:pPr>
          </w:p>
        </w:tc>
        <w:tc>
          <w:tcPr>
            <w:tcW w:w="0" w:type="auto"/>
            <w:vMerge/>
            <w:vAlign w:val="center"/>
          </w:tcPr>
          <w:p w:rsidR="00C378D0" w:rsidRDefault="00C378D0">
            <w:pPr>
              <w:spacing w:after="0" w:line="240" w:lineRule="auto"/>
            </w:pPr>
          </w:p>
        </w:tc>
        <w:tc>
          <w:tcPr>
            <w:tcW w:w="0" w:type="auto"/>
            <w:vMerge/>
            <w:vAlign w:val="center"/>
          </w:tcPr>
          <w:p w:rsidR="00C378D0" w:rsidRDefault="00C378D0">
            <w:pPr>
              <w:spacing w:after="0" w:line="240" w:lineRule="auto"/>
            </w:pPr>
          </w:p>
        </w:tc>
        <w:tc>
          <w:tcPr>
            <w:tcW w:w="4770" w:type="dxa"/>
          </w:tcPr>
          <w:p w:rsidR="00C378D0" w:rsidRDefault="00C378D0">
            <w:pPr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85 до 99% показателей  результатов в отчетном году  соответствуют или выше утвержденных Программой           </w:t>
            </w:r>
          </w:p>
        </w:tc>
        <w:tc>
          <w:tcPr>
            <w:tcW w:w="1260" w:type="dxa"/>
          </w:tcPr>
          <w:p w:rsidR="00C378D0" w:rsidRDefault="00C378D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6   </w:t>
            </w:r>
          </w:p>
        </w:tc>
      </w:tr>
      <w:tr w:rsidR="00C378D0">
        <w:trPr>
          <w:trHeight w:val="877"/>
        </w:trPr>
        <w:tc>
          <w:tcPr>
            <w:tcW w:w="0" w:type="auto"/>
            <w:vMerge/>
            <w:vAlign w:val="center"/>
          </w:tcPr>
          <w:p w:rsidR="00C378D0" w:rsidRDefault="00C378D0">
            <w:pPr>
              <w:spacing w:after="0" w:line="240" w:lineRule="auto"/>
            </w:pPr>
          </w:p>
        </w:tc>
        <w:tc>
          <w:tcPr>
            <w:tcW w:w="0" w:type="auto"/>
            <w:vMerge/>
            <w:vAlign w:val="center"/>
          </w:tcPr>
          <w:p w:rsidR="00C378D0" w:rsidRDefault="00C378D0">
            <w:pPr>
              <w:spacing w:after="0" w:line="240" w:lineRule="auto"/>
            </w:pPr>
          </w:p>
        </w:tc>
        <w:tc>
          <w:tcPr>
            <w:tcW w:w="0" w:type="auto"/>
            <w:vMerge/>
            <w:vAlign w:val="center"/>
          </w:tcPr>
          <w:p w:rsidR="00C378D0" w:rsidRDefault="00C378D0">
            <w:pPr>
              <w:spacing w:after="0" w:line="240" w:lineRule="auto"/>
            </w:pPr>
          </w:p>
        </w:tc>
        <w:tc>
          <w:tcPr>
            <w:tcW w:w="4770" w:type="dxa"/>
          </w:tcPr>
          <w:p w:rsidR="00C378D0" w:rsidRDefault="00C378D0">
            <w:pPr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50 до 84% показателей  результатов в отчетном году соответствуют или выше утвержденных Программой           </w:t>
            </w:r>
          </w:p>
        </w:tc>
        <w:tc>
          <w:tcPr>
            <w:tcW w:w="1260" w:type="dxa"/>
          </w:tcPr>
          <w:p w:rsidR="00C378D0" w:rsidRDefault="00C378D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3   </w:t>
            </w:r>
          </w:p>
        </w:tc>
      </w:tr>
      <w:tr w:rsidR="00C378D0">
        <w:trPr>
          <w:trHeight w:val="1000"/>
        </w:trPr>
        <w:tc>
          <w:tcPr>
            <w:tcW w:w="0" w:type="auto"/>
            <w:vMerge/>
            <w:vAlign w:val="center"/>
          </w:tcPr>
          <w:p w:rsidR="00C378D0" w:rsidRDefault="00C378D0">
            <w:pPr>
              <w:spacing w:after="0" w:line="240" w:lineRule="auto"/>
            </w:pPr>
          </w:p>
        </w:tc>
        <w:tc>
          <w:tcPr>
            <w:tcW w:w="0" w:type="auto"/>
            <w:vMerge/>
            <w:vAlign w:val="center"/>
          </w:tcPr>
          <w:p w:rsidR="00C378D0" w:rsidRDefault="00C378D0">
            <w:pPr>
              <w:spacing w:after="0" w:line="240" w:lineRule="auto"/>
            </w:pPr>
          </w:p>
        </w:tc>
        <w:tc>
          <w:tcPr>
            <w:tcW w:w="0" w:type="auto"/>
            <w:vMerge/>
            <w:vAlign w:val="center"/>
          </w:tcPr>
          <w:p w:rsidR="00C378D0" w:rsidRDefault="00C378D0">
            <w:pPr>
              <w:spacing w:after="0" w:line="240" w:lineRule="auto"/>
            </w:pPr>
          </w:p>
        </w:tc>
        <w:tc>
          <w:tcPr>
            <w:tcW w:w="4770" w:type="dxa"/>
          </w:tcPr>
          <w:p w:rsidR="00C378D0" w:rsidRDefault="00C378D0">
            <w:pPr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менее 50% показателей результатов  в отчетном году соответствуют или  выше утвержденных Программой, либо показатели решения задач не установлены               </w:t>
            </w:r>
          </w:p>
        </w:tc>
        <w:tc>
          <w:tcPr>
            <w:tcW w:w="1260" w:type="dxa"/>
          </w:tcPr>
          <w:p w:rsidR="00C378D0" w:rsidRDefault="00C378D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0   </w:t>
            </w:r>
          </w:p>
        </w:tc>
      </w:tr>
      <w:tr w:rsidR="00C378D0">
        <w:trPr>
          <w:trHeight w:val="744"/>
        </w:trPr>
        <w:tc>
          <w:tcPr>
            <w:tcW w:w="615" w:type="dxa"/>
            <w:vMerge w:val="restart"/>
          </w:tcPr>
          <w:p w:rsidR="00C378D0" w:rsidRDefault="00C378D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3.</w:t>
            </w:r>
          </w:p>
        </w:tc>
        <w:tc>
          <w:tcPr>
            <w:tcW w:w="1230" w:type="dxa"/>
            <w:vMerge w:val="restart"/>
          </w:tcPr>
          <w:p w:rsidR="00C378D0" w:rsidRDefault="00C378D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Y3=0,35 </w:t>
            </w:r>
          </w:p>
        </w:tc>
        <w:tc>
          <w:tcPr>
            <w:tcW w:w="1845" w:type="dxa"/>
            <w:vMerge w:val="restart"/>
          </w:tcPr>
          <w:p w:rsidR="00C378D0" w:rsidRDefault="00C378D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достижение   </w:t>
            </w:r>
          </w:p>
          <w:p w:rsidR="00C378D0" w:rsidRDefault="00C378D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показателей  </w:t>
            </w:r>
          </w:p>
          <w:p w:rsidR="00C378D0" w:rsidRDefault="00C378D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эффективности</w:t>
            </w:r>
          </w:p>
          <w:p w:rsidR="00C378D0" w:rsidRDefault="00C378D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Программы в  </w:t>
            </w:r>
          </w:p>
          <w:p w:rsidR="00C378D0" w:rsidRDefault="00C378D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отчетном году</w:t>
            </w:r>
          </w:p>
          <w:p w:rsidR="00C378D0" w:rsidRDefault="00C378D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(X3)         </w:t>
            </w:r>
          </w:p>
        </w:tc>
        <w:tc>
          <w:tcPr>
            <w:tcW w:w="4770" w:type="dxa"/>
          </w:tcPr>
          <w:p w:rsidR="00C378D0" w:rsidRDefault="00C378D0">
            <w:pPr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отчетном году достигнуты 100% показателей эффективности,  утвержденных  Программой                         </w:t>
            </w:r>
          </w:p>
        </w:tc>
        <w:tc>
          <w:tcPr>
            <w:tcW w:w="1260" w:type="dxa"/>
          </w:tcPr>
          <w:p w:rsidR="00C378D0" w:rsidRDefault="00C378D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10   </w:t>
            </w:r>
          </w:p>
        </w:tc>
      </w:tr>
      <w:tr w:rsidR="00C378D0">
        <w:trPr>
          <w:trHeight w:val="861"/>
        </w:trPr>
        <w:tc>
          <w:tcPr>
            <w:tcW w:w="0" w:type="auto"/>
            <w:vMerge/>
            <w:vAlign w:val="center"/>
          </w:tcPr>
          <w:p w:rsidR="00C378D0" w:rsidRDefault="00C378D0">
            <w:pPr>
              <w:spacing w:after="0" w:line="240" w:lineRule="auto"/>
            </w:pPr>
          </w:p>
        </w:tc>
        <w:tc>
          <w:tcPr>
            <w:tcW w:w="0" w:type="auto"/>
            <w:vMerge/>
            <w:vAlign w:val="center"/>
          </w:tcPr>
          <w:p w:rsidR="00C378D0" w:rsidRDefault="00C378D0">
            <w:pPr>
              <w:spacing w:after="0" w:line="240" w:lineRule="auto"/>
            </w:pPr>
          </w:p>
        </w:tc>
        <w:tc>
          <w:tcPr>
            <w:tcW w:w="0" w:type="auto"/>
            <w:vMerge/>
            <w:vAlign w:val="center"/>
          </w:tcPr>
          <w:p w:rsidR="00C378D0" w:rsidRDefault="00C378D0">
            <w:pPr>
              <w:spacing w:after="0" w:line="240" w:lineRule="auto"/>
            </w:pPr>
          </w:p>
        </w:tc>
        <w:tc>
          <w:tcPr>
            <w:tcW w:w="4770" w:type="dxa"/>
          </w:tcPr>
          <w:p w:rsidR="00C378D0" w:rsidRDefault="00C378D0">
            <w:pPr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отчетном году достигнуты от 85  до 99% показателей эффективности, утвержденных Программой                         </w:t>
            </w:r>
          </w:p>
        </w:tc>
        <w:tc>
          <w:tcPr>
            <w:tcW w:w="1260" w:type="dxa"/>
          </w:tcPr>
          <w:p w:rsidR="00C378D0" w:rsidRDefault="00C378D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6   </w:t>
            </w:r>
          </w:p>
        </w:tc>
      </w:tr>
      <w:tr w:rsidR="00C378D0">
        <w:trPr>
          <w:trHeight w:val="878"/>
        </w:trPr>
        <w:tc>
          <w:tcPr>
            <w:tcW w:w="0" w:type="auto"/>
            <w:vMerge/>
            <w:vAlign w:val="center"/>
          </w:tcPr>
          <w:p w:rsidR="00C378D0" w:rsidRDefault="00C378D0">
            <w:pPr>
              <w:spacing w:after="0" w:line="240" w:lineRule="auto"/>
            </w:pPr>
          </w:p>
        </w:tc>
        <w:tc>
          <w:tcPr>
            <w:tcW w:w="0" w:type="auto"/>
            <w:vMerge/>
            <w:vAlign w:val="center"/>
          </w:tcPr>
          <w:p w:rsidR="00C378D0" w:rsidRDefault="00C378D0">
            <w:pPr>
              <w:spacing w:after="0" w:line="240" w:lineRule="auto"/>
            </w:pPr>
          </w:p>
        </w:tc>
        <w:tc>
          <w:tcPr>
            <w:tcW w:w="0" w:type="auto"/>
            <w:vMerge/>
            <w:vAlign w:val="center"/>
          </w:tcPr>
          <w:p w:rsidR="00C378D0" w:rsidRDefault="00C378D0">
            <w:pPr>
              <w:spacing w:after="0" w:line="240" w:lineRule="auto"/>
            </w:pPr>
          </w:p>
        </w:tc>
        <w:tc>
          <w:tcPr>
            <w:tcW w:w="4770" w:type="dxa"/>
          </w:tcPr>
          <w:p w:rsidR="00C378D0" w:rsidRDefault="00C378D0">
            <w:pPr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отчетном году достигнуты от 50  до 84% показателей эффективности, утвержденных Программой                         </w:t>
            </w:r>
          </w:p>
        </w:tc>
        <w:tc>
          <w:tcPr>
            <w:tcW w:w="1260" w:type="dxa"/>
          </w:tcPr>
          <w:p w:rsidR="00C378D0" w:rsidRDefault="00C378D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3   </w:t>
            </w:r>
          </w:p>
        </w:tc>
      </w:tr>
      <w:tr w:rsidR="00C378D0">
        <w:trPr>
          <w:trHeight w:val="697"/>
        </w:trPr>
        <w:tc>
          <w:tcPr>
            <w:tcW w:w="0" w:type="auto"/>
            <w:vMerge/>
            <w:vAlign w:val="center"/>
          </w:tcPr>
          <w:p w:rsidR="00C378D0" w:rsidRDefault="00C378D0">
            <w:pPr>
              <w:spacing w:after="0" w:line="240" w:lineRule="auto"/>
            </w:pPr>
          </w:p>
        </w:tc>
        <w:tc>
          <w:tcPr>
            <w:tcW w:w="0" w:type="auto"/>
            <w:vMerge/>
            <w:vAlign w:val="center"/>
          </w:tcPr>
          <w:p w:rsidR="00C378D0" w:rsidRDefault="00C378D0">
            <w:pPr>
              <w:spacing w:after="0" w:line="240" w:lineRule="auto"/>
            </w:pPr>
          </w:p>
        </w:tc>
        <w:tc>
          <w:tcPr>
            <w:tcW w:w="0" w:type="auto"/>
            <w:vMerge/>
            <w:vAlign w:val="center"/>
          </w:tcPr>
          <w:p w:rsidR="00C378D0" w:rsidRDefault="00C378D0">
            <w:pPr>
              <w:spacing w:after="0" w:line="240" w:lineRule="auto"/>
            </w:pPr>
          </w:p>
        </w:tc>
        <w:tc>
          <w:tcPr>
            <w:tcW w:w="4770" w:type="dxa"/>
          </w:tcPr>
          <w:p w:rsidR="00C378D0" w:rsidRDefault="00C378D0">
            <w:pPr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отчетном году достигнуты менее  50% показателей эффективности,  утвержденных Программой, показатели  эффективности не установлены  либо информация об их выполнении не представлена.                    </w:t>
            </w:r>
          </w:p>
        </w:tc>
        <w:tc>
          <w:tcPr>
            <w:tcW w:w="1260" w:type="dxa"/>
          </w:tcPr>
          <w:p w:rsidR="00C378D0" w:rsidRDefault="00C378D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0   </w:t>
            </w:r>
          </w:p>
        </w:tc>
      </w:tr>
    </w:tbl>
    <w:p w:rsidR="00C378D0" w:rsidRDefault="00C378D0" w:rsidP="002368DF">
      <w:pPr>
        <w:spacing w:after="0"/>
        <w:jc w:val="center"/>
        <w:rPr>
          <w:b/>
          <w:bCs/>
        </w:rPr>
      </w:pPr>
    </w:p>
    <w:p w:rsidR="00C378D0" w:rsidRDefault="00C378D0" w:rsidP="002368DF">
      <w:pPr>
        <w:jc w:val="center"/>
        <w:rPr>
          <w:b/>
          <w:bCs/>
        </w:rPr>
      </w:pPr>
    </w:p>
    <w:p w:rsidR="00C378D0" w:rsidRDefault="00C378D0" w:rsidP="002368DF">
      <w:pPr>
        <w:jc w:val="center"/>
        <w:rPr>
          <w:b/>
          <w:bCs/>
        </w:rPr>
      </w:pPr>
    </w:p>
    <w:p w:rsidR="00C378D0" w:rsidRDefault="00C378D0" w:rsidP="002368DF">
      <w:pPr>
        <w:spacing w:after="0"/>
      </w:pPr>
    </w:p>
    <w:p w:rsidR="00C378D0" w:rsidRDefault="00C378D0" w:rsidP="002368D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378D0" w:rsidRDefault="00C378D0" w:rsidP="002368D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378D0" w:rsidRDefault="00C378D0" w:rsidP="002368D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378D0" w:rsidRDefault="00C378D0" w:rsidP="002368DF">
      <w:pPr>
        <w:jc w:val="both"/>
        <w:rPr>
          <w:rFonts w:ascii="Times New Roman" w:hAnsi="Times New Roman" w:cs="Times New Roman"/>
        </w:rPr>
      </w:pPr>
    </w:p>
    <w:p w:rsidR="00C378D0" w:rsidRDefault="00C378D0" w:rsidP="002368DF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bookmarkStart w:id="5" w:name="_GoBack"/>
      <w:bookmarkEnd w:id="5"/>
    </w:p>
    <w:p w:rsidR="00C378D0" w:rsidRDefault="00C378D0" w:rsidP="002368DF">
      <w:pPr>
        <w:pStyle w:val="ConsPlusNormal"/>
        <w:jc w:val="center"/>
        <w:rPr>
          <w:rFonts w:cs="Times New Roman"/>
        </w:rPr>
      </w:pPr>
    </w:p>
    <w:p w:rsidR="00C378D0" w:rsidRDefault="00C378D0">
      <w:pPr>
        <w:pStyle w:val="NoSpacing"/>
        <w:jc w:val="both"/>
      </w:pPr>
    </w:p>
    <w:p w:rsidR="00C378D0" w:rsidRDefault="00C378D0">
      <w:pPr>
        <w:pStyle w:val="NoSpacing"/>
        <w:jc w:val="both"/>
      </w:pPr>
    </w:p>
    <w:p w:rsidR="00C378D0" w:rsidRDefault="00C378D0">
      <w:pPr>
        <w:pStyle w:val="NoSpacing"/>
        <w:jc w:val="both"/>
      </w:pPr>
    </w:p>
    <w:p w:rsidR="00C378D0" w:rsidRDefault="00C378D0">
      <w:pPr>
        <w:pStyle w:val="NoSpacing"/>
        <w:jc w:val="both"/>
      </w:pPr>
    </w:p>
    <w:p w:rsidR="00C378D0" w:rsidRDefault="00C378D0">
      <w:pPr>
        <w:pStyle w:val="NoSpacing"/>
        <w:jc w:val="both"/>
      </w:pPr>
    </w:p>
    <w:p w:rsidR="00C378D0" w:rsidRDefault="00C378D0">
      <w:pPr>
        <w:pStyle w:val="NoSpacing"/>
        <w:jc w:val="both"/>
      </w:pPr>
    </w:p>
    <w:p w:rsidR="00C378D0" w:rsidRDefault="00C378D0">
      <w:pPr>
        <w:pStyle w:val="NoSpacing"/>
        <w:jc w:val="both"/>
      </w:pPr>
    </w:p>
    <w:p w:rsidR="00C378D0" w:rsidRDefault="00C378D0">
      <w:pPr>
        <w:pStyle w:val="NoSpacing"/>
        <w:jc w:val="both"/>
      </w:pPr>
    </w:p>
    <w:p w:rsidR="00C378D0" w:rsidRDefault="00C378D0">
      <w:pPr>
        <w:pStyle w:val="NoSpacing"/>
        <w:jc w:val="both"/>
      </w:pPr>
    </w:p>
    <w:p w:rsidR="00C378D0" w:rsidRDefault="00C378D0">
      <w:pPr>
        <w:pStyle w:val="NoSpacing"/>
        <w:jc w:val="both"/>
      </w:pPr>
    </w:p>
    <w:p w:rsidR="00C378D0" w:rsidRDefault="00C378D0">
      <w:pPr>
        <w:pStyle w:val="NoSpacing"/>
        <w:jc w:val="both"/>
      </w:pPr>
    </w:p>
    <w:p w:rsidR="00C378D0" w:rsidRDefault="00C378D0">
      <w:pPr>
        <w:pStyle w:val="NoSpacing"/>
        <w:jc w:val="both"/>
      </w:pPr>
    </w:p>
    <w:p w:rsidR="00C378D0" w:rsidRDefault="00C378D0">
      <w:pPr>
        <w:pStyle w:val="NoSpacing"/>
        <w:jc w:val="both"/>
      </w:pPr>
    </w:p>
    <w:p w:rsidR="00C378D0" w:rsidRDefault="00C378D0">
      <w:pPr>
        <w:pStyle w:val="NoSpacing"/>
        <w:jc w:val="both"/>
      </w:pPr>
    </w:p>
    <w:p w:rsidR="00C378D0" w:rsidRDefault="00C378D0">
      <w:pPr>
        <w:pStyle w:val="NoSpacing"/>
        <w:jc w:val="both"/>
      </w:pPr>
    </w:p>
    <w:p w:rsidR="00C378D0" w:rsidRDefault="00C378D0">
      <w:pPr>
        <w:pStyle w:val="NoSpacing"/>
        <w:jc w:val="both"/>
      </w:pPr>
    </w:p>
    <w:p w:rsidR="00C378D0" w:rsidRDefault="00C378D0">
      <w:pPr>
        <w:pStyle w:val="NoSpacing"/>
        <w:jc w:val="both"/>
      </w:pPr>
    </w:p>
    <w:p w:rsidR="00C378D0" w:rsidRDefault="00C378D0">
      <w:pPr>
        <w:pStyle w:val="NoSpacing"/>
        <w:jc w:val="both"/>
      </w:pPr>
    </w:p>
    <w:p w:rsidR="00C378D0" w:rsidRDefault="00C378D0">
      <w:pPr>
        <w:pStyle w:val="NoSpacing"/>
        <w:jc w:val="both"/>
      </w:pPr>
    </w:p>
    <w:p w:rsidR="00C378D0" w:rsidRDefault="00C378D0">
      <w:pPr>
        <w:pStyle w:val="NoSpacing"/>
        <w:jc w:val="both"/>
      </w:pPr>
    </w:p>
    <w:p w:rsidR="00C378D0" w:rsidRDefault="00C378D0">
      <w:pPr>
        <w:pStyle w:val="NoSpacing"/>
        <w:jc w:val="both"/>
      </w:pPr>
    </w:p>
    <w:p w:rsidR="00C378D0" w:rsidRDefault="00C378D0">
      <w:pPr>
        <w:pStyle w:val="NoSpacing"/>
        <w:jc w:val="both"/>
      </w:pPr>
    </w:p>
    <w:sectPr w:rsidR="00C378D0" w:rsidSect="00D738C4">
      <w:pgSz w:w="11906" w:h="16838"/>
      <w:pgMar w:top="1134" w:right="850" w:bottom="1134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738C4"/>
    <w:rsid w:val="00012042"/>
    <w:rsid w:val="001B0CC8"/>
    <w:rsid w:val="002368DF"/>
    <w:rsid w:val="00450344"/>
    <w:rsid w:val="004908A2"/>
    <w:rsid w:val="00492520"/>
    <w:rsid w:val="00661ECF"/>
    <w:rsid w:val="006A2870"/>
    <w:rsid w:val="006E34F2"/>
    <w:rsid w:val="00A15E79"/>
    <w:rsid w:val="00B27A1B"/>
    <w:rsid w:val="00C378D0"/>
    <w:rsid w:val="00D26E37"/>
    <w:rsid w:val="00D738C4"/>
    <w:rsid w:val="00DC4433"/>
    <w:rsid w:val="00E767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50344"/>
    <w:pPr>
      <w:spacing w:after="200" w:line="276" w:lineRule="auto"/>
    </w:pPr>
    <w:rPr>
      <w:color w:val="00000A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">
    <w:name w:val="Заголовок"/>
    <w:basedOn w:val="Normal"/>
    <w:next w:val="BodyText"/>
    <w:uiPriority w:val="99"/>
    <w:rsid w:val="00D738C4"/>
    <w:pPr>
      <w:keepNext/>
      <w:spacing w:before="240" w:after="120"/>
    </w:pPr>
    <w:rPr>
      <w:rFonts w:ascii="Liberation Sans" w:eastAsia="Microsoft YaHei" w:hAnsi="Liberation Sans" w:cs="Liberation Sans"/>
      <w:sz w:val="28"/>
      <w:szCs w:val="28"/>
    </w:rPr>
  </w:style>
  <w:style w:type="paragraph" w:styleId="BodyText">
    <w:name w:val="Body Text"/>
    <w:basedOn w:val="Normal"/>
    <w:link w:val="BodyTextChar"/>
    <w:uiPriority w:val="99"/>
    <w:rsid w:val="00D738C4"/>
    <w:pPr>
      <w:spacing w:after="140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1B0CC8"/>
    <w:rPr>
      <w:color w:val="00000A"/>
      <w:lang w:eastAsia="en-US"/>
    </w:rPr>
  </w:style>
  <w:style w:type="paragraph" w:styleId="List">
    <w:name w:val="List"/>
    <w:basedOn w:val="BodyText"/>
    <w:uiPriority w:val="99"/>
    <w:rsid w:val="00D738C4"/>
  </w:style>
  <w:style w:type="paragraph" w:styleId="Caption">
    <w:name w:val="caption"/>
    <w:basedOn w:val="Normal"/>
    <w:uiPriority w:val="99"/>
    <w:qFormat/>
    <w:rsid w:val="00D738C4"/>
    <w:pPr>
      <w:suppressLineNumbers/>
      <w:spacing w:before="120" w:after="120"/>
    </w:pPr>
    <w:rPr>
      <w:i/>
      <w:iCs/>
      <w:sz w:val="24"/>
      <w:szCs w:val="24"/>
    </w:rPr>
  </w:style>
  <w:style w:type="paragraph" w:styleId="Index1">
    <w:name w:val="index 1"/>
    <w:basedOn w:val="Normal"/>
    <w:next w:val="Normal"/>
    <w:autoRedefine/>
    <w:uiPriority w:val="99"/>
    <w:semiHidden/>
    <w:rsid w:val="00450344"/>
    <w:pPr>
      <w:ind w:left="220" w:hanging="220"/>
    </w:pPr>
  </w:style>
  <w:style w:type="paragraph" w:styleId="IndexHeading">
    <w:name w:val="index heading"/>
    <w:basedOn w:val="Normal"/>
    <w:uiPriority w:val="99"/>
    <w:semiHidden/>
    <w:rsid w:val="00D738C4"/>
    <w:pPr>
      <w:suppressLineNumbers/>
    </w:pPr>
  </w:style>
  <w:style w:type="paragraph" w:styleId="NoSpacing">
    <w:name w:val="No Spacing"/>
    <w:uiPriority w:val="99"/>
    <w:qFormat/>
    <w:rsid w:val="00450344"/>
    <w:rPr>
      <w:color w:val="00000A"/>
      <w:lang w:eastAsia="en-US"/>
    </w:rPr>
  </w:style>
  <w:style w:type="paragraph" w:styleId="ListParagraph">
    <w:name w:val="List Paragraph"/>
    <w:basedOn w:val="Normal"/>
    <w:uiPriority w:val="99"/>
    <w:qFormat/>
    <w:rsid w:val="00450344"/>
    <w:pPr>
      <w:ind w:left="720"/>
    </w:pPr>
  </w:style>
  <w:style w:type="paragraph" w:customStyle="1" w:styleId="ConsPlusNormal">
    <w:name w:val="ConsPlusNormal"/>
    <w:uiPriority w:val="99"/>
    <w:rsid w:val="002368DF"/>
    <w:pPr>
      <w:widowControl w:val="0"/>
    </w:pPr>
    <w:rPr>
      <w:rFonts w:eastAsia="Times New Roman"/>
      <w:color w:val="00000A"/>
    </w:rPr>
  </w:style>
  <w:style w:type="paragraph" w:customStyle="1" w:styleId="ConsPlusCell">
    <w:name w:val="ConsPlusCell"/>
    <w:uiPriority w:val="99"/>
    <w:rsid w:val="002368DF"/>
    <w:pPr>
      <w:widowControl w:val="0"/>
    </w:pPr>
    <w:rPr>
      <w:rFonts w:ascii="Arial" w:hAnsi="Arial" w:cs="Arial"/>
      <w:color w:val="00000A"/>
    </w:rPr>
  </w:style>
  <w:style w:type="paragraph" w:customStyle="1" w:styleId="a0">
    <w:name w:val="Содержимое таблицы"/>
    <w:basedOn w:val="Normal"/>
    <w:uiPriority w:val="99"/>
    <w:rsid w:val="002368DF"/>
    <w:pPr>
      <w:suppressLineNumbers/>
    </w:pPr>
    <w:rPr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49262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101</TotalTime>
  <Pages>11</Pages>
  <Words>3050</Words>
  <Characters>17390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33</cp:revision>
  <cp:lastPrinted>2019-04-29T16:15:00Z</cp:lastPrinted>
  <dcterms:created xsi:type="dcterms:W3CDTF">2014-09-24T07:56:00Z</dcterms:created>
  <dcterms:modified xsi:type="dcterms:W3CDTF">2019-06-07T05:47:00Z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