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FA8" w:rsidRDefault="00987DC3">
      <w:pPr>
        <w:jc w:val="right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Приложение №   4  </w:t>
      </w:r>
    </w:p>
    <w:p w:rsidR="007805AB" w:rsidRPr="007805AB" w:rsidRDefault="007805AB" w:rsidP="007805AB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7805AB">
        <w:rPr>
          <w:rFonts w:ascii="Times New Roman" w:hAnsi="Times New Roman" w:cs="Times New Roman"/>
          <w:bCs/>
          <w:sz w:val="20"/>
          <w:szCs w:val="24"/>
        </w:rPr>
        <w:t>К постановлению Администрации</w:t>
      </w:r>
    </w:p>
    <w:p w:rsidR="007805AB" w:rsidRPr="007805AB" w:rsidRDefault="007805AB" w:rsidP="007805AB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7805AB">
        <w:rPr>
          <w:rFonts w:ascii="Times New Roman" w:hAnsi="Times New Roman" w:cs="Times New Roman"/>
          <w:bCs/>
          <w:sz w:val="20"/>
          <w:szCs w:val="24"/>
        </w:rPr>
        <w:t>Лахденпохского муниципального района</w:t>
      </w:r>
    </w:p>
    <w:p w:rsidR="007805AB" w:rsidRPr="007805AB" w:rsidRDefault="007805AB" w:rsidP="007805AB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7805AB">
        <w:rPr>
          <w:rFonts w:ascii="Times New Roman" w:hAnsi="Times New Roman" w:cs="Times New Roman"/>
          <w:bCs/>
          <w:sz w:val="20"/>
          <w:szCs w:val="24"/>
        </w:rPr>
        <w:t>от ____ декабря 2019 года № __________</w:t>
      </w:r>
    </w:p>
    <w:p w:rsidR="00556FA8" w:rsidRDefault="00556FA8" w:rsidP="007805AB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</w:p>
    <w:p w:rsidR="007805AB" w:rsidRDefault="007805AB" w:rsidP="007805AB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</w:p>
    <w:p w:rsidR="007805AB" w:rsidRDefault="007805AB" w:rsidP="007805AB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bookmarkStart w:id="0" w:name="_GoBack"/>
      <w:bookmarkEnd w:id="0"/>
    </w:p>
    <w:p w:rsidR="00556FA8" w:rsidRDefault="00987DC3">
      <w:pPr>
        <w:tabs>
          <w:tab w:val="left" w:pos="2835"/>
        </w:tabs>
        <w:spacing w:after="0" w:line="20" w:lineRule="atLeast"/>
        <w:jc w:val="center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bCs/>
          <w:sz w:val="20"/>
          <w:szCs w:val="24"/>
        </w:rPr>
        <w:t>ПЛАН РЕАЛИЗАЦИИ МУНИЦИПАЛЬНОЙ ПРОГРАММЫ ЛАХДЕНПОХСКОГО МУНИЦИПАЛЬНОГО РАЙОНА</w:t>
      </w:r>
    </w:p>
    <w:p w:rsidR="00556FA8" w:rsidRDefault="00556FA8">
      <w:pPr>
        <w:tabs>
          <w:tab w:val="left" w:pos="2835"/>
        </w:tabs>
        <w:spacing w:after="0" w:line="20" w:lineRule="atLeast"/>
        <w:jc w:val="center"/>
        <w:rPr>
          <w:rFonts w:ascii="Times New Roman" w:hAnsi="Times New Roman" w:cs="Times New Roman"/>
          <w:bCs/>
          <w:sz w:val="20"/>
          <w:szCs w:val="24"/>
        </w:rPr>
      </w:pPr>
    </w:p>
    <w:p w:rsidR="00556FA8" w:rsidRDefault="00987DC3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«Развитие образования  в Лахденпохском муниципальном районе» на 2019-2023 годы</w:t>
      </w:r>
    </w:p>
    <w:p w:rsidR="00556FA8" w:rsidRDefault="00556FA8">
      <w:pPr>
        <w:spacing w:after="0" w:line="2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5036" w:type="pct"/>
        <w:tblInd w:w="-106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400"/>
        <w:gridCol w:w="1558"/>
        <w:gridCol w:w="627"/>
        <w:gridCol w:w="627"/>
        <w:gridCol w:w="458"/>
        <w:gridCol w:w="458"/>
        <w:gridCol w:w="489"/>
        <w:gridCol w:w="489"/>
        <w:gridCol w:w="489"/>
        <w:gridCol w:w="489"/>
        <w:gridCol w:w="489"/>
        <w:gridCol w:w="489"/>
        <w:gridCol w:w="489"/>
        <w:gridCol w:w="211"/>
        <w:gridCol w:w="211"/>
        <w:gridCol w:w="211"/>
        <w:gridCol w:w="211"/>
        <w:gridCol w:w="211"/>
        <w:gridCol w:w="211"/>
        <w:gridCol w:w="211"/>
        <w:gridCol w:w="211"/>
        <w:gridCol w:w="211"/>
        <w:gridCol w:w="456"/>
        <w:gridCol w:w="219"/>
        <w:gridCol w:w="501"/>
        <w:gridCol w:w="211"/>
        <w:gridCol w:w="610"/>
        <w:gridCol w:w="219"/>
        <w:gridCol w:w="501"/>
        <w:gridCol w:w="219"/>
        <w:gridCol w:w="501"/>
      </w:tblGrid>
      <w:tr w:rsidR="00556FA8" w:rsidTr="00987DC3">
        <w:trPr>
          <w:trHeight w:val="525"/>
        </w:trPr>
        <w:tc>
          <w:tcPr>
            <w:tcW w:w="234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1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Ответственный исполнитель (ГРБС)</w:t>
            </w:r>
          </w:p>
        </w:tc>
        <w:tc>
          <w:tcPr>
            <w:tcW w:w="1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4728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15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46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tabs>
                <w:tab w:val="left" w:pos="2383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(тыс.руб.)</w:t>
            </w:r>
          </w:p>
        </w:tc>
      </w:tr>
      <w:tr w:rsidR="00987DC3" w:rsidTr="00987DC3">
        <w:trPr>
          <w:trHeight w:val="1813"/>
        </w:trPr>
        <w:tc>
          <w:tcPr>
            <w:tcW w:w="234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556FA8">
            <w:p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начала  реализации  </w:t>
            </w:r>
          </w:p>
        </w:tc>
        <w:tc>
          <w:tcPr>
            <w:tcW w:w="6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окончания реализации</w:t>
            </w:r>
          </w:p>
        </w:tc>
        <w:tc>
          <w:tcPr>
            <w:tcW w:w="4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358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</w:tr>
      <w:tr w:rsidR="00987DC3" w:rsidTr="00987DC3">
        <w:trPr>
          <w:cantSplit/>
          <w:trHeight w:hRule="exact" w:val="1449"/>
        </w:trPr>
        <w:tc>
          <w:tcPr>
            <w:tcW w:w="23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556FA8">
            <w:p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btLr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87DC3" w:rsidTr="00987DC3">
        <w:trPr>
          <w:trHeight w:val="300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987DC3" w:rsidTr="00987DC3">
        <w:trPr>
          <w:cantSplit/>
          <w:trHeight w:val="2483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«Развитие образования  в Лахденпохском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муниципальном районе»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 2019-2023 годы</w:t>
            </w:r>
          </w:p>
          <w:p w:rsidR="00556FA8" w:rsidRDefault="00556FA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0100000011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240, 110, 610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D26CE6">
            <w:pPr>
              <w:ind w:left="113" w:right="113"/>
            </w:pPr>
            <w:r>
              <w:rPr>
                <w:rFonts w:ascii="Times New Roman" w:hAnsi="Times New Roman" w:cs="Times New Roman"/>
                <w:b/>
                <w:sz w:val="20"/>
              </w:rPr>
              <w:t>325315,43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</w:pPr>
            <w:r>
              <w:rPr>
                <w:rFonts w:ascii="Times New Roman" w:hAnsi="Times New Roman" w:cs="Times New Roman"/>
                <w:b/>
                <w:sz w:val="20"/>
              </w:rPr>
              <w:t>290516,53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</w:pPr>
            <w:r>
              <w:rPr>
                <w:rFonts w:ascii="Times New Roman" w:hAnsi="Times New Roman" w:cs="Times New Roman"/>
                <w:b/>
                <w:sz w:val="20"/>
              </w:rPr>
              <w:t>255334,53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</w:pPr>
            <w:r>
              <w:rPr>
                <w:rFonts w:ascii="Times New Roman" w:hAnsi="Times New Roman" w:cs="Times New Roman"/>
                <w:b/>
                <w:sz w:val="20"/>
              </w:rPr>
              <w:t>249117,37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0,00</w:t>
            </w:r>
          </w:p>
        </w:tc>
      </w:tr>
      <w:tr w:rsidR="00987DC3" w:rsidTr="00987DC3">
        <w:trPr>
          <w:cantSplit/>
          <w:trHeight w:val="2483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lastRenderedPageBreak/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240, 110, 610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D26CE6">
            <w:pPr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324815,43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right="113"/>
            </w:pPr>
            <w:r>
              <w:rPr>
                <w:rFonts w:ascii="Times New Roman" w:hAnsi="Times New Roman" w:cs="Times New Roman"/>
                <w:b/>
              </w:rPr>
              <w:t>290516,53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255335,53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249117,37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0,000</w:t>
            </w:r>
          </w:p>
        </w:tc>
      </w:tr>
      <w:tr w:rsidR="00987DC3" w:rsidTr="00987DC3">
        <w:trPr>
          <w:cantSplit/>
          <w:trHeight w:val="1800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1.Основное мероприятие</w:t>
            </w:r>
            <w:r>
              <w:rPr>
                <w:rFonts w:ascii="Times New Roman" w:hAnsi="Times New Roman" w:cs="Times New Roman"/>
              </w:rPr>
              <w:t xml:space="preserve"> –реализация образовательной программы дошкольного образования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D26CE6">
            <w:pPr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108627,70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88814,03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72689,03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70688,96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0,000</w:t>
            </w:r>
          </w:p>
        </w:tc>
      </w:tr>
      <w:tr w:rsidR="00987DC3" w:rsidTr="00987DC3">
        <w:trPr>
          <w:cantSplit/>
          <w:trHeight w:val="1275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1.1.Развитие и реализация моделей получения качественного дошкольного образования в форме услуги сопровождения раннего развития детей</w:t>
            </w:r>
          </w:p>
        </w:tc>
        <w:tc>
          <w:tcPr>
            <w:tcW w:w="15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Образовательные организации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49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.Внедрение ФГОС дошкольного образования</w:t>
            </w:r>
          </w:p>
        </w:tc>
        <w:tc>
          <w:tcPr>
            <w:tcW w:w="15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Воспитанники ОО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B66B1D">
            <w:pPr>
              <w:ind w:right="113"/>
            </w:pPr>
            <w:r>
              <w:rPr>
                <w:rFonts w:ascii="Times New Roman" w:hAnsi="Times New Roman" w:cs="Times New Roman"/>
                <w:b/>
              </w:rPr>
              <w:t>108627,70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right="113"/>
            </w:pPr>
            <w:r>
              <w:rPr>
                <w:rFonts w:ascii="Times New Roman" w:hAnsi="Times New Roman" w:cs="Times New Roman"/>
                <w:b/>
              </w:rPr>
              <w:t>88814,03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right="113"/>
            </w:pPr>
            <w:r>
              <w:rPr>
                <w:rFonts w:ascii="Times New Roman" w:hAnsi="Times New Roman" w:cs="Times New Roman"/>
                <w:b/>
              </w:rPr>
              <w:t>72689,03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right="113"/>
            </w:pPr>
            <w:r>
              <w:rPr>
                <w:rFonts w:ascii="Times New Roman" w:hAnsi="Times New Roman" w:cs="Times New Roman"/>
                <w:b/>
              </w:rPr>
              <w:t>70688,96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0,000</w:t>
            </w:r>
          </w:p>
        </w:tc>
      </w:tr>
      <w:tr w:rsidR="00987DC3" w:rsidTr="00987DC3">
        <w:trPr>
          <w:cantSplit/>
          <w:trHeight w:val="270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2.Основное мероприятие</w:t>
            </w:r>
            <w:r>
              <w:rPr>
                <w:rFonts w:ascii="Times New Roman" w:hAnsi="Times New Roman" w:cs="Times New Roman"/>
              </w:rPr>
              <w:t xml:space="preserve"> – реализация образовательных программ начального общего, основного общего, среднего общего образования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0110200000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240, 110, 610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FB5D5A">
            <w:pPr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155073,28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right="113"/>
            </w:pPr>
            <w:r>
              <w:rPr>
                <w:rFonts w:ascii="Times New Roman" w:hAnsi="Times New Roman" w:cs="Times New Roman"/>
                <w:b/>
              </w:rPr>
              <w:t>145964,99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right="113"/>
            </w:pPr>
            <w:r>
              <w:rPr>
                <w:rFonts w:ascii="Times New Roman" w:hAnsi="Times New Roman" w:cs="Times New Roman"/>
                <w:b/>
              </w:rPr>
              <w:t>150773,99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right="113"/>
            </w:pPr>
            <w:r>
              <w:rPr>
                <w:rFonts w:ascii="Times New Roman" w:hAnsi="Times New Roman" w:cs="Times New Roman"/>
                <w:b/>
              </w:rPr>
              <w:t>144383,99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987DC3" w:rsidTr="00987DC3">
        <w:trPr>
          <w:cantSplit/>
          <w:trHeight w:val="1175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3. Основное мероприятие</w:t>
            </w:r>
            <w:r>
              <w:rPr>
                <w:rFonts w:ascii="Times New Roman" w:hAnsi="Times New Roman" w:cs="Times New Roman"/>
              </w:rPr>
              <w:t xml:space="preserve"> -Укрепление материально – технической базы образовательных организаций, в соответствии с требованиями ФГОС</w:t>
            </w:r>
          </w:p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-приобретение компьютерной техники</w:t>
            </w:r>
          </w:p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-приобретение оргтехники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0110200000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240, 110, 610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134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4.Основное мероприятие</w:t>
            </w:r>
            <w:r>
              <w:rPr>
                <w:rFonts w:ascii="Times New Roman" w:hAnsi="Times New Roman" w:cs="Times New Roman"/>
              </w:rPr>
              <w:t>- реализация дополнительных общеразвивающих образовательных программ</w:t>
            </w: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0110400000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3B1DA4">
            <w:pPr>
              <w:ind w:left="113" w:right="113"/>
            </w:pPr>
            <w:r>
              <w:rPr>
                <w:rFonts w:ascii="Times New Roman" w:hAnsi="Times New Roman" w:cs="Times New Roman"/>
                <w:b/>
                <w:sz w:val="24"/>
              </w:rPr>
              <w:t>42148,77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</w:pPr>
            <w:bookmarkStart w:id="1" w:name="__DdeLink__4171_1179414712"/>
            <w:r>
              <w:rPr>
                <w:rFonts w:ascii="Times New Roman" w:hAnsi="Times New Roman" w:cs="Times New Roman"/>
                <w:b/>
                <w:sz w:val="24"/>
              </w:rPr>
              <w:t>43971,2</w:t>
            </w:r>
            <w:bookmarkEnd w:id="1"/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</w:pPr>
            <w:r>
              <w:rPr>
                <w:rFonts w:ascii="Times New Roman" w:hAnsi="Times New Roman" w:cs="Times New Roman"/>
                <w:b/>
                <w:sz w:val="24"/>
              </w:rPr>
              <w:t>25021,92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</w:pPr>
            <w:r>
              <w:rPr>
                <w:rFonts w:ascii="Times New Roman" w:hAnsi="Times New Roman" w:cs="Times New Roman"/>
                <w:b/>
                <w:sz w:val="24"/>
              </w:rPr>
              <w:t>26838,15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0,00</w:t>
            </w:r>
          </w:p>
        </w:tc>
      </w:tr>
      <w:tr w:rsidR="00987DC3" w:rsidTr="00987DC3">
        <w:trPr>
          <w:cantSplit/>
          <w:trHeight w:val="1533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4.1.Реализация «Концепции развития дополнительного образования»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Обучающиеся ОО 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0110400000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3B1DA4">
            <w:pPr>
              <w:ind w:left="113" w:right="113"/>
            </w:pPr>
            <w:r>
              <w:rPr>
                <w:rFonts w:ascii="Times New Roman" w:hAnsi="Times New Roman" w:cs="Times New Roman"/>
                <w:b/>
                <w:sz w:val="24"/>
              </w:rPr>
              <w:t>42148,77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</w:pPr>
            <w:r>
              <w:rPr>
                <w:rFonts w:ascii="Times New Roman" w:hAnsi="Times New Roman" w:cs="Times New Roman"/>
                <w:b/>
                <w:sz w:val="24"/>
              </w:rPr>
              <w:t>43971,2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</w:pPr>
            <w:r>
              <w:rPr>
                <w:rFonts w:ascii="Times New Roman" w:hAnsi="Times New Roman" w:cs="Times New Roman"/>
                <w:sz w:val="24"/>
              </w:rPr>
              <w:t>25021,92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</w:pPr>
            <w:r>
              <w:rPr>
                <w:rFonts w:ascii="Times New Roman" w:hAnsi="Times New Roman" w:cs="Times New Roman"/>
                <w:sz w:val="24"/>
              </w:rPr>
              <w:t>26838,15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987DC3" w:rsidTr="00987DC3">
        <w:trPr>
          <w:cantSplit/>
          <w:trHeight w:val="1134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5. Основное мероприятие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деятельности по исполнению переданных функций АЛМР в сфере образования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0110500000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A0447E">
            <w:pPr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16719,39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10121,31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6349,59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</w:pPr>
            <w:r>
              <w:rPr>
                <w:rFonts w:ascii="Times New Roman" w:hAnsi="Times New Roman" w:cs="Times New Roman"/>
                <w:b/>
              </w:rPr>
              <w:t>7206,27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</w:tcPr>
          <w:p w:rsidR="00556FA8" w:rsidRDefault="00987DC3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987DC3" w:rsidTr="00987DC3">
        <w:trPr>
          <w:cantSplit/>
          <w:trHeight w:val="1265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pStyle w:val="ac"/>
              <w:tabs>
                <w:tab w:val="left" w:pos="993"/>
              </w:tabs>
              <w:spacing w:before="0" w:after="0"/>
              <w:rPr>
                <w:rStyle w:val="a4"/>
                <w:sz w:val="22"/>
                <w:szCs w:val="22"/>
              </w:rPr>
            </w:pPr>
            <w:r>
              <w:rPr>
                <w:rStyle w:val="a4"/>
                <w:b/>
                <w:sz w:val="22"/>
                <w:szCs w:val="22"/>
              </w:rPr>
              <w:t>6.Основное мероприятие</w:t>
            </w:r>
            <w:r>
              <w:rPr>
                <w:rStyle w:val="a4"/>
                <w:sz w:val="22"/>
                <w:szCs w:val="22"/>
              </w:rPr>
              <w:t xml:space="preserve"> – развитие кадрового потенциала системы дошкольного, общего и дополнительного образования</w:t>
            </w:r>
          </w:p>
          <w:p w:rsidR="00556FA8" w:rsidRDefault="00556FA8">
            <w:pPr>
              <w:pStyle w:val="ac"/>
              <w:tabs>
                <w:tab w:val="left" w:pos="993"/>
              </w:tabs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2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0110600000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  <w:p w:rsidR="00556FA8" w:rsidRDefault="00556FA8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265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pStyle w:val="ac"/>
              <w:tabs>
                <w:tab w:val="left" w:pos="993"/>
              </w:tabs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 Проведение муниципального этапа Регионального конкурс «Педагоги читают детям»</w:t>
            </w:r>
          </w:p>
          <w:p w:rsidR="00556FA8" w:rsidRDefault="00556FA8">
            <w:pPr>
              <w:pStyle w:val="ac"/>
              <w:tabs>
                <w:tab w:val="left" w:pos="993"/>
              </w:tabs>
              <w:spacing w:before="0" w:after="0"/>
              <w:rPr>
                <w:sz w:val="22"/>
                <w:szCs w:val="22"/>
              </w:rPr>
            </w:pPr>
          </w:p>
          <w:p w:rsidR="00556FA8" w:rsidRDefault="00556FA8">
            <w:pPr>
              <w:pStyle w:val="ac"/>
              <w:tabs>
                <w:tab w:val="left" w:pos="993"/>
              </w:tabs>
              <w:spacing w:before="0" w:after="0"/>
              <w:rPr>
                <w:rStyle w:val="a4"/>
                <w:b/>
                <w:sz w:val="22"/>
                <w:szCs w:val="22"/>
              </w:rPr>
            </w:pPr>
          </w:p>
        </w:tc>
        <w:tc>
          <w:tcPr>
            <w:tcW w:w="15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0110600000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2404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pStyle w:val="ac"/>
              <w:tabs>
                <w:tab w:val="left" w:pos="993"/>
              </w:tabs>
              <w:spacing w:before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6.2.Совершенствование механизмов распространения авторских инновационных методик и технологий, выявление и обмен лучших практик</w:t>
            </w:r>
          </w:p>
          <w:p w:rsidR="00556FA8" w:rsidRDefault="00556FA8">
            <w:pPr>
              <w:pStyle w:val="ac"/>
              <w:tabs>
                <w:tab w:val="left" w:pos="993"/>
              </w:tabs>
              <w:spacing w:before="0" w:after="0"/>
              <w:rPr>
                <w:color w:val="000000"/>
                <w:sz w:val="22"/>
                <w:szCs w:val="22"/>
              </w:rPr>
            </w:pPr>
          </w:p>
          <w:p w:rsidR="00556FA8" w:rsidRDefault="00556FA8">
            <w:pPr>
              <w:pStyle w:val="ac"/>
              <w:tabs>
                <w:tab w:val="left" w:pos="993"/>
              </w:tabs>
              <w:spacing w:before="0" w:after="0"/>
              <w:rPr>
                <w:color w:val="000000"/>
                <w:sz w:val="22"/>
                <w:szCs w:val="22"/>
              </w:rPr>
            </w:pPr>
          </w:p>
          <w:p w:rsidR="00556FA8" w:rsidRDefault="00556FA8">
            <w:pPr>
              <w:pStyle w:val="ac"/>
              <w:tabs>
                <w:tab w:val="left" w:pos="993"/>
              </w:tabs>
              <w:spacing w:before="0" w:after="0"/>
              <w:rPr>
                <w:color w:val="000000"/>
                <w:sz w:val="22"/>
                <w:szCs w:val="22"/>
              </w:rPr>
            </w:pPr>
          </w:p>
          <w:p w:rsidR="00556FA8" w:rsidRDefault="00987DC3">
            <w:pPr>
              <w:pStyle w:val="ac"/>
              <w:tabs>
                <w:tab w:val="left" w:pos="993"/>
              </w:tabs>
              <w:spacing w:before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0110600000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618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pStyle w:val="ac"/>
              <w:tabs>
                <w:tab w:val="left" w:pos="993"/>
              </w:tabs>
              <w:spacing w:before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6.3.Проведение конкурсов среди образовательных организаций</w:t>
            </w:r>
          </w:p>
        </w:tc>
        <w:tc>
          <w:tcPr>
            <w:tcW w:w="15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0110600000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618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pStyle w:val="ac"/>
              <w:tabs>
                <w:tab w:val="left" w:pos="993"/>
              </w:tabs>
              <w:spacing w:before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6.4. организация обучающих семинаров, тематических конференций педагогических работников, торжественных заседаний</w:t>
            </w:r>
          </w:p>
        </w:tc>
        <w:tc>
          <w:tcPr>
            <w:tcW w:w="15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0110600000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7. Основное мероприятие</w:t>
            </w:r>
            <w:r>
              <w:rPr>
                <w:rFonts w:ascii="Times New Roman" w:hAnsi="Times New Roman" w:cs="Times New Roman"/>
              </w:rPr>
              <w:t xml:space="preserve"> – реализация дополнительных общеобразовательных программ специального (коррекционного) обучения</w:t>
            </w: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0110700000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7.1.Комплексное психолого-медико-педагогическое обследование – обследование с целью своевременного выявления детей с особенностями в физическом и (или) психическом развитии и (или) отклонениями в поведении, и подготовки по результатам обследования рекомендаций по оказанию им психолого-медико-педагогической помощи и организации их обучения и воспитания, а также подтверждения, уточнения или изменения ранее данных рекомендаций</w:t>
            </w:r>
          </w:p>
        </w:tc>
        <w:tc>
          <w:tcPr>
            <w:tcW w:w="15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Обучающиеся с ОВЗ и дети - инвалиды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0110700000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2197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7.2.Организация выставки творческих работ детей - инвалидов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0110700000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7.3.Оказание консультативно-методической помощи педагогам, родителям (законным представителям) и другим лицам и организациям по вопросам обучения, воспитания, социальной адаптации и реабилитации детей и подростков с отклонениями в развитии и трудностями в обучении, общении и поведении, детей-инвалидов</w:t>
            </w: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квалификации педагогов работающих с детьми с ОВЗ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0110700000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8.Основное мероприятие</w:t>
            </w:r>
            <w:r>
              <w:rPr>
                <w:rFonts w:ascii="Times New Roman" w:hAnsi="Times New Roman" w:cs="Times New Roman"/>
                <w:color w:val="000000"/>
              </w:rPr>
              <w:t xml:space="preserve"> - сохранение и укрепление здоровья обучающихся и воспитанников</w:t>
            </w:r>
          </w:p>
        </w:tc>
        <w:tc>
          <w:tcPr>
            <w:tcW w:w="152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01108000000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240, 110, 610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1105,00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945,0</w:t>
            </w:r>
          </w:p>
        </w:tc>
        <w:tc>
          <w:tcPr>
            <w:tcW w:w="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249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8.1.Организация и проведение детских лагерей на период каникул</w:t>
            </w: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Охват детей от общего числа обучающихся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01108000000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1105,00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249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556FA8">
            <w:pPr>
              <w:spacing w:after="0" w:line="240" w:lineRule="auto"/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556FA8">
            <w:pPr>
              <w:spacing w:after="0" w:line="20" w:lineRule="atLeast"/>
              <w:ind w:left="113" w:right="113"/>
            </w:pP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556FA8">
            <w:pPr>
              <w:spacing w:after="0" w:line="20" w:lineRule="atLeast"/>
              <w:ind w:left="113" w:right="113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556FA8">
            <w:pPr>
              <w:spacing w:after="0" w:line="20" w:lineRule="atLeast"/>
              <w:ind w:left="113" w:right="113"/>
            </w:pP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</w:pPr>
            <w:r>
              <w:t>01108</w:t>
            </w:r>
            <w:r>
              <w:rPr>
                <w:lang w:val="en-US"/>
              </w:rPr>
              <w:t>S3210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101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987DC3" w:rsidTr="00987DC3">
        <w:trPr>
          <w:cantSplit/>
          <w:trHeight w:val="249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556FA8">
            <w:pPr>
              <w:spacing w:after="0" w:line="240" w:lineRule="auto"/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556FA8">
            <w:pPr>
              <w:spacing w:after="0" w:line="20" w:lineRule="atLeast"/>
              <w:ind w:left="113" w:right="113"/>
            </w:pP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556FA8">
            <w:pPr>
              <w:spacing w:after="0" w:line="20" w:lineRule="atLeast"/>
              <w:ind w:left="113" w:right="113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556FA8">
            <w:pPr>
              <w:spacing w:after="0" w:line="20" w:lineRule="atLeast"/>
              <w:ind w:left="113" w:right="113"/>
            </w:pP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</w:pPr>
            <w:r>
              <w:t>01108</w:t>
            </w:r>
            <w:r>
              <w:rPr>
                <w:lang w:val="en-US"/>
              </w:rPr>
              <w:t>S3210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753,58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987DC3" w:rsidTr="00987DC3">
        <w:trPr>
          <w:cantSplit/>
          <w:trHeight w:val="249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556FA8">
            <w:pPr>
              <w:spacing w:after="0" w:line="240" w:lineRule="auto"/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556FA8">
            <w:pPr>
              <w:spacing w:after="0" w:line="20" w:lineRule="atLeast"/>
              <w:ind w:left="113" w:right="113"/>
            </w:pP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556FA8">
            <w:pPr>
              <w:spacing w:after="0" w:line="20" w:lineRule="atLeast"/>
              <w:ind w:left="113" w:right="113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0" w:lineRule="atLeast"/>
              <w:jc w:val="center"/>
            </w:pP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556FA8">
            <w:pPr>
              <w:spacing w:after="0" w:line="20" w:lineRule="atLeast"/>
              <w:ind w:left="113" w:right="113"/>
            </w:pP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</w:pPr>
            <w:r>
              <w:t>01108</w:t>
            </w:r>
            <w:r>
              <w:rPr>
                <w:lang w:val="en-US"/>
              </w:rPr>
              <w:t>S3210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250,42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9</w:t>
            </w:r>
          </w:p>
          <w:p w:rsidR="00556FA8" w:rsidRDefault="00987D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по созданию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</w:pPr>
            <w: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</w:pPr>
            <w: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Образовательных организаций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</w:pPr>
            <w: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</w:pPr>
            <w: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</w:pPr>
            <w: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</w:pPr>
            <w: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</w:pPr>
            <w: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</w:pPr>
            <w:r>
              <w:t>0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556FA8">
            <w:pPr>
              <w:spacing w:after="0" w:line="20" w:lineRule="atLeast"/>
              <w:ind w:left="113" w:right="113"/>
            </w:pP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</w:pPr>
            <w:r>
              <w:t>011Е2</w:t>
            </w:r>
            <w:r>
              <w:rPr>
                <w:lang w:val="en-US"/>
              </w:rPr>
              <w:t>L09710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</w:pPr>
            <w:r>
              <w:t>240,                                              610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1141,30</w:t>
            </w: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987DC3">
            <w:pPr>
              <w:spacing w:after="0" w:line="2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987DC3">
            <w:pPr>
              <w:spacing w:after="0" w:line="2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987DC3">
            <w:pPr>
              <w:spacing w:after="0" w:line="2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987DC3">
            <w:pPr>
              <w:spacing w:after="0" w:line="2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556FA8">
            <w:pPr>
              <w:spacing w:after="0" w:line="20" w:lineRule="atLeast"/>
              <w:jc w:val="center"/>
              <w:rPr>
                <w:lang w:val="en-US"/>
              </w:rPr>
            </w:pPr>
          </w:p>
          <w:p w:rsidR="00556FA8" w:rsidRDefault="00987DC3">
            <w:pPr>
              <w:spacing w:after="0" w:line="2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Подпрограмма 2 «Одаренные дети»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9. Основное мероприятие</w:t>
            </w:r>
            <w:r>
              <w:rPr>
                <w:rFonts w:ascii="Times New Roman" w:hAnsi="Times New Roman" w:cs="Times New Roman"/>
              </w:rPr>
              <w:t xml:space="preserve"> – выявление и поддержка одаренных детей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240,          610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312,50 </w:t>
            </w:r>
          </w:p>
          <w:p w:rsidR="00556FA8" w:rsidRDefault="00987DC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187,50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  <w:p w:rsidR="00556FA8" w:rsidRDefault="00556F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56FA8" w:rsidRDefault="00987DC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  <w:p w:rsidR="00556FA8" w:rsidRDefault="00556F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56FA8" w:rsidRDefault="00987DC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  <w:p w:rsidR="00556FA8" w:rsidRDefault="00556F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56FA8" w:rsidRDefault="00987DC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  <w:p w:rsidR="00556FA8" w:rsidRDefault="00556F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56FA8" w:rsidRDefault="00987DC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9.1.Формирование банка данных по одаренным детям Лахденпохского муниципального района</w:t>
            </w:r>
          </w:p>
        </w:tc>
        <w:tc>
          <w:tcPr>
            <w:tcW w:w="152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556FA8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556FA8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556FA8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2322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9.2.Проведение районной олимпиады для младших школьников </w:t>
            </w:r>
          </w:p>
        </w:tc>
        <w:tc>
          <w:tcPr>
            <w:tcW w:w="152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Охват детей от общего числа обучающихся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7,90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8,40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4389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9.3.Организация и проведение школьного и муниципального этапов Всероссийской олимпиады школьников</w:t>
            </w:r>
          </w:p>
        </w:tc>
        <w:tc>
          <w:tcPr>
            <w:tcW w:w="15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Охват детей  участников муниципального этапа от числа участников школьного этапа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8,40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4380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9.4.Участие в победителей на региональном этапе Всероссийской олимпиады школьников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Охват детей  участников регионального этапа от числа участников муниципального этапа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556FA8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16,30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17,30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2263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9.5.Проведение районной научно-исследовательской конференции школьников «Шаг в будущее»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Охват детей от общего числа обучающихся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4520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9.6.Участие в республиканской конференции молодых исследователей «Шаг в будущее Карелии»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Охват детей  участников регионального этапа от числа участников муниципального этапа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14,40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16,30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17,30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9.7.Организация  и проведение муниципального этапа Всероссийского конкурса юных чтецов «Живая классика»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7,90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8,40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9.8.Участие в региональном этапе Всероссийского конкурса юных чтецов «Живая классика»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9,80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10,60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11,20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9.9.Организация и проведение муниципального этапа Республиканского конкурса художественного слова и ораторского мастерства «Глагол»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7,50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9.10.Участие в региональном этапе Республиканского  конкурса художественного слова и ораторского мастерства «Глагол»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11,70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12,30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9.11.Участие в региональном этапе Всероссийских спортивных игр школьников «Президентские игры», Всероссийских спортивных</w:t>
            </w:r>
          </w:p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соревнований  «Президентские состязания»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39,20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9.12.Районный конкурс юных художников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4,20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9.13. Турнир  юных поэтов «Золотое перо»</w:t>
            </w: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9.14.Районная выставка декоративно-прикладного творчества «Золотые руки мастеров»</w:t>
            </w: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10,60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9.15.Районный фестиваль –конкурс художественного творчества «Маленькие звездочки»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9.16. Районная выставка детских работ «Рождественский подарок»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9.17. «День защиты детей»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9.18. Творческая лаборатория по хореографическому искусству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13,50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2,60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9.19.Районный фестиваль художественного творчества Шоу талантов»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9.20. Районный конкурс работ декоративно-прикладного творчества «Читаем Калевала»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9.21.Районный фестиваль – конкурс художественного творчества "Помнит сердце»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6,20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9.22. Районный фестиваль вокально-хоровой музыки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2,30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2,50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9.23.Участие обучающихся МБУ ДО ЛЦДТ в республиканских зональных, межрегиональных, всероссийских и международных мероприятиях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41,80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44,30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9.24. Участие обучающихся МБУ ДО «ДШИ» в  республиканских, зональных, межрегиональных, всероссийских и международных мероприятиях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43,00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41,90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44,40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pStyle w:val="ac"/>
              <w:tabs>
                <w:tab w:val="left" w:pos="993"/>
              </w:tabs>
              <w:spacing w:before="0"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9.25. .Проведение профессиональных конкурсов для учителей, педагогов и воспитателей, работающих с одаренными детьми.</w:t>
            </w: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240, 110,610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10.Основное мероприятие</w:t>
            </w:r>
            <w:r>
              <w:rPr>
                <w:rFonts w:ascii="Times New Roman" w:hAnsi="Times New Roman" w:cs="Times New Roman"/>
              </w:rPr>
              <w:t xml:space="preserve"> - стимулирование одаренных детей к самосовершенствованию</w:t>
            </w:r>
          </w:p>
        </w:tc>
        <w:tc>
          <w:tcPr>
            <w:tcW w:w="152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137,60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140,10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148,40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10.1.Чествование выпускников образовательных организаций Лахденпохского муниципального района, получивших медали и аттестаты с отличием</w:t>
            </w:r>
          </w:p>
        </w:tc>
        <w:tc>
          <w:tcPr>
            <w:tcW w:w="15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22,60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23,30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24,60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10.2.Ежегодная районная премия одаренным детям «За особые успехи в интеллектуальной, художественно-творческой, спортивной и общественной деятельности»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53,00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56,20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10.3.Проведение праздника «Елка Главы Лахденпохского муниципального района»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47,90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50,80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87DC3" w:rsidTr="00987DC3">
        <w:trPr>
          <w:cantSplit/>
          <w:trHeight w:val="1431"/>
        </w:trPr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10.4.Участие обучающихся в Елке Главы Республики Карелия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ОСР АЛМР</w:t>
            </w:r>
          </w:p>
          <w:p w:rsidR="00556FA8" w:rsidRDefault="00987D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 «РУО и ДМ»)</w:t>
            </w:r>
          </w:p>
          <w:p w:rsidR="00556FA8" w:rsidRDefault="0055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bottom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6FA8" w:rsidRDefault="00987DC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0120200000</w:t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extDirection w:val="tbRl"/>
            <w:vAlign w:val="center"/>
          </w:tcPr>
          <w:p w:rsidR="00556FA8" w:rsidRDefault="00987DC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1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22,00</w:t>
            </w:r>
          </w:p>
        </w:tc>
        <w:tc>
          <w:tcPr>
            <w:tcW w:w="9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15,90</w:t>
            </w:r>
          </w:p>
        </w:tc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16,80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6FA8" w:rsidRDefault="00987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</w:tbl>
    <w:p w:rsidR="00556FA8" w:rsidRDefault="00556F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FA8" w:rsidRDefault="00556F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FA8" w:rsidRDefault="00556F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FA8" w:rsidRDefault="00556F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FA8" w:rsidRDefault="00556F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FA8" w:rsidRDefault="00556F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FA8" w:rsidRDefault="00556FA8"/>
    <w:sectPr w:rsidR="00556FA8">
      <w:pgSz w:w="16838" w:h="11906" w:orient="landscape"/>
      <w:pgMar w:top="426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556FA8"/>
    <w:rsid w:val="003B1DA4"/>
    <w:rsid w:val="00556FA8"/>
    <w:rsid w:val="007805AB"/>
    <w:rsid w:val="00987DC3"/>
    <w:rsid w:val="00A0447E"/>
    <w:rsid w:val="00B66B1D"/>
    <w:rsid w:val="00D26CE6"/>
    <w:rsid w:val="00FB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32E"/>
    <w:pPr>
      <w:spacing w:after="200" w:line="276" w:lineRule="auto"/>
    </w:pPr>
    <w:rPr>
      <w:rFonts w:ascii="Calibri" w:eastAsiaTheme="minorEastAsia" w:hAnsi="Calibri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E26B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0F5F43"/>
  </w:style>
  <w:style w:type="character" w:customStyle="1" w:styleId="a5">
    <w:name w:val="Текст выноски Знак"/>
    <w:basedOn w:val="a0"/>
    <w:uiPriority w:val="99"/>
    <w:semiHidden/>
    <w:qFormat/>
    <w:rsid w:val="00CB57D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Body Text Indent"/>
    <w:basedOn w:val="a"/>
    <w:unhideWhenUsed/>
    <w:rsid w:val="00E26B71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qFormat/>
    <w:rsid w:val="000F5F43"/>
    <w:pPr>
      <w:spacing w:before="33" w:after="3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uiPriority w:val="99"/>
    <w:semiHidden/>
    <w:unhideWhenUsed/>
    <w:qFormat/>
    <w:rsid w:val="00CB57DF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1A87B-FCE8-43E7-8F83-3DC87B60A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16</Pages>
  <Words>2082</Words>
  <Characters>11872</Characters>
  <Application>Microsoft Office Word</Application>
  <DocSecurity>0</DocSecurity>
  <Lines>98</Lines>
  <Paragraphs>27</Paragraphs>
  <ScaleCrop>false</ScaleCrop>
  <Company>Grizli777</Company>
  <LinksUpToDate>false</LinksUpToDate>
  <CharactersWithSpaces>13927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dc:description/>
  <cp:lastModifiedBy>Ирина</cp:lastModifiedBy>
  <cp:revision>125</cp:revision>
  <cp:lastPrinted>2019-12-20T11:17:00Z</cp:lastPrinted>
  <dcterms:created xsi:type="dcterms:W3CDTF">2017-01-15T17:56:00Z</dcterms:created>
  <dcterms:modified xsi:type="dcterms:W3CDTF">2020-01-07T15:37:00Z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