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activeX/activeX1.xml" ContentType="application/vnd.ms-office.activeX+xml"/>
  <Override PartName="/word/activeX/activeX1.bin" ContentType="application/vnd.ms-office.activeX"/>
  <Override PartName="/word/activeX/_rels/activeX1.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jc w:val="right"/>
        <w:rPr>
          <w:rFonts w:ascii="Times New Roman" w:hAnsi="Times New Roman"/>
          <w:sz w:val="20"/>
          <w:szCs w:val="20"/>
        </w:rPr>
      </w:pPr>
      <w:r>
        <w:rPr>
          <w:rFonts w:cs="Times New Roman" w:ascii="Times New Roman" w:hAnsi="Times New Roman"/>
          <w:sz w:val="20"/>
          <w:szCs w:val="20"/>
        </w:rPr>
        <w:t>Приложение № 1</w:t>
      </w:r>
    </w:p>
    <w:p>
      <w:pPr>
        <w:pStyle w:val="Normal"/>
        <w:widowControl/>
        <w:suppressAutoHyphens w:val="true"/>
        <w:bidi w:val="0"/>
        <w:spacing w:lineRule="auto" w:line="240" w:before="0" w:after="200"/>
        <w:ind w:left="0" w:right="0" w:hanging="0"/>
        <w:jc w:val="right"/>
        <w:rPr>
          <w:rFonts w:ascii="Times New Roman" w:hAnsi="Times New Roman"/>
          <w:sz w:val="20"/>
          <w:szCs w:val="20"/>
        </w:rPr>
      </w:pPr>
      <w:r>
        <w:rPr>
          <w:rFonts w:cs="Times New Roman" w:ascii="Times New Roman" w:hAnsi="Times New Roman"/>
          <w:sz w:val="20"/>
          <w:szCs w:val="20"/>
        </w:rPr>
        <w:t>К Постановлению Администрации</w:t>
      </w:r>
    </w:p>
    <w:p>
      <w:pPr>
        <w:pStyle w:val="Normal"/>
        <w:spacing w:lineRule="auto" w:line="240"/>
        <w:jc w:val="left"/>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Лахденпохского муниципального района</w:t>
      </w:r>
    </w:p>
    <w:p>
      <w:pPr>
        <w:pStyle w:val="Normal"/>
        <w:widowControl/>
        <w:suppressAutoHyphens w:val="true"/>
        <w:bidi w:val="0"/>
        <w:spacing w:lineRule="auto" w:line="240" w:before="0" w:after="200"/>
        <w:ind w:left="0" w:right="-57" w:hanging="0"/>
        <w:jc w:val="left"/>
        <w:rPr>
          <w:rFonts w:ascii="Times New Roman" w:hAnsi="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от ___ декабря 2019г.  № _________</w:t>
      </w:r>
    </w:p>
    <w:p>
      <w:pPr>
        <w:pStyle w:val="Normal"/>
        <w:spacing w:lineRule="auto" w:line="240"/>
        <w:ind w:right="283" w:hanging="0"/>
        <w:jc w:val="left"/>
        <w:rPr/>
      </w:pPr>
      <w:r>
        <w:rPr/>
      </w:r>
    </w:p>
    <w:p>
      <w:pPr>
        <w:pStyle w:val="Normal"/>
        <w:spacing w:before="0" w:after="0"/>
        <w:ind w:right="283" w:hanging="0"/>
        <w:rPr/>
      </w:pPr>
      <w:r>
        <w:rPr>
          <w:rFonts w:eastAsia="Times New Roman" w:cs="Times New Roman" w:ascii="Times New Roman" w:hAnsi="Times New Roman"/>
          <w:b/>
          <w:bCs/>
          <w:sz w:val="28"/>
          <w:szCs w:val="28"/>
        </w:rPr>
        <w:t xml:space="preserve">                                           </w:t>
      </w:r>
      <w:r>
        <w:rPr>
          <w:rFonts w:eastAsia="Times New Roman" w:cs="Times New Roman" w:ascii="Times New Roman" w:hAnsi="Times New Roman"/>
          <w:b/>
          <w:bCs/>
          <w:sz w:val="24"/>
          <w:szCs w:val="24"/>
        </w:rPr>
        <w:t xml:space="preserve"> </w:t>
      </w:r>
      <w:r>
        <w:rPr>
          <w:rFonts w:cs="Times New Roman" w:ascii="Times New Roman" w:hAnsi="Times New Roman"/>
          <w:b/>
          <w:bCs/>
          <w:sz w:val="24"/>
          <w:szCs w:val="24"/>
        </w:rPr>
        <w:t xml:space="preserve">Паспорт муниципальной  программы </w:t>
      </w:r>
    </w:p>
    <w:p>
      <w:pPr>
        <w:pStyle w:val="Normal"/>
        <w:spacing w:before="0" w:after="0"/>
        <w:ind w:right="283" w:firstLine="540"/>
        <w:jc w:val="center"/>
        <w:rPr>
          <w:rFonts w:ascii="Times New Roman" w:hAnsi="Times New Roman"/>
          <w:sz w:val="24"/>
          <w:szCs w:val="24"/>
        </w:rPr>
      </w:pPr>
      <w:r>
        <w:rPr>
          <w:rFonts w:cs="Times New Roman" w:ascii="Times New Roman" w:hAnsi="Times New Roman"/>
          <w:b/>
          <w:bCs/>
          <w:color w:val="000000"/>
          <w:sz w:val="24"/>
          <w:szCs w:val="24"/>
          <w:u w:val="single"/>
        </w:rPr>
        <w:t>«Развитие образования в Лахденпохском  муниципальном  районе»</w:t>
      </w:r>
    </w:p>
    <w:p>
      <w:pPr>
        <w:pStyle w:val="Normal"/>
        <w:spacing w:before="0" w:after="0"/>
        <w:ind w:right="283" w:firstLine="540"/>
        <w:jc w:val="center"/>
        <w:rPr>
          <w:rFonts w:ascii="Times New Roman" w:hAnsi="Times New Roman"/>
          <w:sz w:val="24"/>
          <w:szCs w:val="24"/>
        </w:rPr>
      </w:pPr>
      <w:r>
        <w:rPr>
          <w:rFonts w:cs="Times New Roman" w:ascii="Times New Roman" w:hAnsi="Times New Roman"/>
          <w:b/>
          <w:bCs/>
          <w:color w:val="000000"/>
          <w:sz w:val="24"/>
          <w:szCs w:val="24"/>
        </w:rPr>
        <w:t>на 2019-2023 годы (далее – муниципальная программа)</w:t>
      </w:r>
    </w:p>
    <w:p>
      <w:pPr>
        <w:pStyle w:val="Normal"/>
        <w:widowControl/>
        <w:suppressAutoHyphens w:val="true"/>
        <w:bidi w:val="0"/>
        <w:spacing w:lineRule="auto" w:line="276" w:before="0" w:after="0"/>
        <w:ind w:left="0" w:right="0" w:firstLine="510"/>
        <w:jc w:val="both"/>
        <w:rPr>
          <w:rFonts w:ascii="Times New Roman" w:hAnsi="Times New Roman" w:cs="Times New Roman"/>
          <w:b/>
          <w:b/>
          <w:bCs/>
          <w:color w:val="000000"/>
          <w:sz w:val="24"/>
          <w:szCs w:val="24"/>
        </w:rPr>
      </w:pPr>
      <w:r>
        <w:rPr>
          <w:rFonts w:cs="Times New Roman" w:ascii="Times New Roman" w:hAnsi="Times New Roman"/>
          <w:b/>
          <w:bCs/>
          <w:color w:val="000000"/>
          <w:sz w:val="24"/>
          <w:szCs w:val="24"/>
        </w:rPr>
        <w:pict>
          <v:shapetype id="shapetype_201" coordsize="21600,21600" o:spt="201" path="m,l,21600l21600,21600l21600,xe">
            <v:stroke joinstyle="miter"/>
            <v:path shadowok="f" o:extrusionok="f" strokeok="f" fillok="f" o:connecttype="rect"/>
            <o:lock v:ext="edit" shapetype="t"/>
          </v:shapetype>
          <v:shape id="control_shape_0" style="position:absolute;margin-left:490.7pt;margin-top:11.9pt;width:11.85pt;height:0pt" type="#shapetype_201"/>
          <w:control r:id="rId2" w:name="Текстовое поле 1" w:shapeid="control_shape_0"/>
        </w:pict>
      </w:r>
    </w:p>
    <w:p>
      <w:pPr>
        <w:pStyle w:val="Normal"/>
        <w:spacing w:before="0" w:after="0"/>
        <w:ind w:right="283" w:firstLine="540"/>
        <w:jc w:val="center"/>
        <w:rPr>
          <w:rFonts w:ascii="Times New Roman" w:hAnsi="Times New Roman" w:cs="Times New Roman"/>
          <w:b/>
          <w:b/>
          <w:bCs/>
          <w:color w:val="000000"/>
          <w:sz w:val="24"/>
          <w:szCs w:val="24"/>
        </w:rPr>
      </w:pPr>
      <w:r>
        <w:rPr>
          <w:rFonts w:cs="Times New Roman" w:ascii="Times New Roman" w:hAnsi="Times New Roman"/>
          <w:b/>
          <w:bCs/>
          <w:color w:val="000000"/>
          <w:sz w:val="24"/>
          <w:szCs w:val="24"/>
        </w:rPr>
      </w:r>
    </w:p>
    <w:tbl>
      <w:tblPr>
        <w:tblW w:w="10095" w:type="dxa"/>
        <w:jc w:val="left"/>
        <w:tblInd w:w="-98" w:type="dxa"/>
        <w:tblBorders>
          <w:top w:val="single" w:sz="4" w:space="0" w:color="00000A"/>
          <w:left w:val="single" w:sz="4" w:space="0" w:color="00000A"/>
          <w:bottom w:val="single" w:sz="4" w:space="0" w:color="00000A"/>
          <w:insideH w:val="single" w:sz="4" w:space="0" w:color="00000A"/>
        </w:tblBorders>
        <w:tblCellMar>
          <w:top w:w="0" w:type="dxa"/>
          <w:left w:w="73" w:type="dxa"/>
          <w:bottom w:w="0" w:type="dxa"/>
          <w:right w:w="108" w:type="dxa"/>
        </w:tblCellMar>
        <w:tblLook w:firstRow="0" w:noVBand="0" w:lastRow="0" w:firstColumn="0" w:lastColumn="0" w:noHBand="0" w:val="0000"/>
      </w:tblPr>
      <w:tblGrid>
        <w:gridCol w:w="2775"/>
        <w:gridCol w:w="7320"/>
      </w:tblGrid>
      <w:tr>
        <w:trPr/>
        <w:tc>
          <w:tcPr>
            <w:tcW w:w="2775" w:type="dxa"/>
            <w:tcBorders>
              <w:top w:val="single" w:sz="4" w:space="0" w:color="00000A"/>
              <w:left w:val="single" w:sz="4" w:space="0" w:color="00000A"/>
              <w:bottom w:val="single" w:sz="4" w:space="0" w:color="00000A"/>
              <w:insideH w:val="single" w:sz="4" w:space="0" w:color="00000A"/>
            </w:tcBorders>
            <w:shd w:fill="auto" w:val="clear"/>
          </w:tcPr>
          <w:p>
            <w:pPr>
              <w:pStyle w:val="TableParagraph"/>
              <w:ind w:right="883" w:hanging="0"/>
              <w:rPr>
                <w:lang w:val="ru-RU"/>
              </w:rPr>
            </w:pPr>
            <w:r>
              <w:rPr>
                <w:rFonts w:ascii="Times New Roman" w:hAnsi="Times New Roman"/>
                <w:b/>
                <w:bCs/>
                <w:sz w:val="24"/>
                <w:szCs w:val="24"/>
                <w:lang w:val="ru-RU"/>
              </w:rPr>
              <w:t>Ответственный   разработчик муниципальной программы</w:t>
            </w:r>
          </w:p>
        </w:tc>
        <w:tc>
          <w:tcPr>
            <w:tcW w:w="7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TableParagraph"/>
              <w:tabs>
                <w:tab w:val="left" w:pos="935" w:leader="none"/>
                <w:tab w:val="left" w:pos="1804" w:leader="none"/>
                <w:tab w:val="left" w:pos="2041" w:leader="none"/>
                <w:tab w:val="left" w:pos="2893" w:leader="none"/>
                <w:tab w:val="left" w:pos="3039" w:leader="none"/>
                <w:tab w:val="left" w:pos="4200" w:leader="none"/>
                <w:tab w:val="left" w:pos="4356" w:leader="none"/>
              </w:tabs>
              <w:ind w:right="218" w:hanging="0"/>
              <w:jc w:val="both"/>
              <w:rPr>
                <w:lang w:val="ru-RU"/>
              </w:rPr>
            </w:pPr>
            <w:r>
              <w:rPr>
                <w:rFonts w:ascii="Times New Roman" w:hAnsi="Times New Roman"/>
                <w:sz w:val="24"/>
                <w:szCs w:val="24"/>
                <w:lang w:val="ru-RU"/>
              </w:rPr>
              <w:t xml:space="preserve">Отдел социальной работы Администрации </w:t>
            </w:r>
            <w:r>
              <w:rPr>
                <w:rFonts w:ascii="Times New Roman" w:hAnsi="Times New Roman"/>
                <w:spacing w:val="-1"/>
                <w:sz w:val="24"/>
                <w:szCs w:val="24"/>
                <w:lang w:val="ru-RU"/>
              </w:rPr>
              <w:t xml:space="preserve">Лахденпохского </w:t>
            </w:r>
            <w:r>
              <w:rPr>
                <w:rFonts w:ascii="Times New Roman" w:hAnsi="Times New Roman"/>
                <w:sz w:val="24"/>
                <w:szCs w:val="24"/>
                <w:lang w:val="ru-RU"/>
              </w:rPr>
              <w:t xml:space="preserve">муниципального района (далее – АЛМР), </w:t>
            </w:r>
          </w:p>
        </w:tc>
      </w:tr>
      <w:tr>
        <w:trPr/>
        <w:tc>
          <w:tcPr>
            <w:tcW w:w="2775" w:type="dxa"/>
            <w:tcBorders>
              <w:top w:val="single" w:sz="4" w:space="0" w:color="00000A"/>
              <w:left w:val="single" w:sz="4" w:space="0" w:color="00000A"/>
              <w:bottom w:val="single" w:sz="4" w:space="0" w:color="00000A"/>
              <w:insideH w:val="single" w:sz="4" w:space="0" w:color="00000A"/>
            </w:tcBorders>
            <w:shd w:fill="auto" w:val="clear"/>
          </w:tcPr>
          <w:p>
            <w:pPr>
              <w:pStyle w:val="TableParagraph"/>
              <w:ind w:right="899" w:hanging="0"/>
              <w:jc w:val="both"/>
              <w:rPr>
                <w:lang w:val="ru-RU"/>
              </w:rPr>
            </w:pPr>
            <w:r>
              <w:rPr>
                <w:rFonts w:ascii="Times New Roman" w:hAnsi="Times New Roman"/>
                <w:b/>
                <w:bCs/>
                <w:sz w:val="24"/>
                <w:szCs w:val="24"/>
                <w:lang w:val="ru-RU"/>
              </w:rPr>
              <w:t>Соисполнитель муниципальной программы</w:t>
            </w:r>
          </w:p>
        </w:tc>
        <w:tc>
          <w:tcPr>
            <w:tcW w:w="7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TableParagraph"/>
              <w:tabs>
                <w:tab w:val="left" w:pos="1681" w:leader="none"/>
                <w:tab w:val="left" w:pos="3111" w:leader="none"/>
                <w:tab w:val="left" w:pos="4198" w:leader="none"/>
              </w:tabs>
              <w:ind w:right="218" w:hanging="0"/>
              <w:jc w:val="both"/>
              <w:rPr>
                <w:spacing w:val="-1"/>
                <w:sz w:val="24"/>
                <w:szCs w:val="24"/>
                <w:lang w:val="ru-RU"/>
              </w:rPr>
            </w:pPr>
            <w:r>
              <w:rPr>
                <w:rFonts w:ascii="Times New Roman" w:hAnsi="Times New Roman"/>
                <w:sz w:val="24"/>
                <w:szCs w:val="24"/>
                <w:lang w:val="ru-RU"/>
              </w:rPr>
              <w:t>Муниципальное учреждение</w:t>
            </w:r>
            <w:r>
              <w:rPr>
                <w:rFonts w:ascii="Times New Roman" w:hAnsi="Times New Roman"/>
                <w:spacing w:val="-1"/>
                <w:sz w:val="24"/>
                <w:szCs w:val="24"/>
                <w:lang w:val="ru-RU"/>
              </w:rPr>
              <w:t xml:space="preserve"> «Районное управление образования и по делам молодежи» (далее – МУ «РУО и ДМ»).</w:t>
            </w:r>
          </w:p>
          <w:p>
            <w:pPr>
              <w:pStyle w:val="TableParagraph"/>
              <w:tabs>
                <w:tab w:val="left" w:pos="1681" w:leader="none"/>
                <w:tab w:val="left" w:pos="3111" w:leader="none"/>
                <w:tab w:val="left" w:pos="4198" w:leader="none"/>
              </w:tabs>
              <w:ind w:right="218" w:hanging="0"/>
              <w:jc w:val="both"/>
              <w:rPr>
                <w:rFonts w:ascii="Times New Roman" w:hAnsi="Times New Roman"/>
                <w:spacing w:val="-1"/>
                <w:sz w:val="24"/>
                <w:szCs w:val="24"/>
                <w:lang w:val="ru-RU"/>
              </w:rPr>
            </w:pPr>
            <w:r>
              <w:rPr>
                <w:rFonts w:ascii="Times New Roman" w:hAnsi="Times New Roman"/>
                <w:spacing w:val="-1"/>
                <w:sz w:val="24"/>
                <w:szCs w:val="24"/>
                <w:lang w:val="ru-RU"/>
              </w:rPr>
            </w:r>
          </w:p>
        </w:tc>
      </w:tr>
      <w:tr>
        <w:trPr/>
        <w:tc>
          <w:tcPr>
            <w:tcW w:w="2775" w:type="dxa"/>
            <w:tcBorders>
              <w:top w:val="single" w:sz="4" w:space="0" w:color="00000A"/>
              <w:left w:val="single" w:sz="4" w:space="0" w:color="00000A"/>
              <w:bottom w:val="single" w:sz="4" w:space="0" w:color="00000A"/>
              <w:insideH w:val="single" w:sz="4" w:space="0" w:color="00000A"/>
            </w:tcBorders>
            <w:shd w:fill="auto" w:val="clear"/>
          </w:tcPr>
          <w:p>
            <w:pPr>
              <w:pStyle w:val="TableParagraph"/>
              <w:ind w:right="899" w:hanging="0"/>
              <w:jc w:val="both"/>
              <w:rPr>
                <w:b/>
                <w:b/>
                <w:bCs/>
                <w:lang w:val="ru-RU"/>
              </w:rPr>
            </w:pPr>
            <w:r>
              <w:rPr>
                <w:rFonts w:ascii="Times New Roman" w:hAnsi="Times New Roman"/>
                <w:b/>
                <w:bCs/>
                <w:sz w:val="24"/>
                <w:szCs w:val="24"/>
                <w:lang w:val="ru-RU"/>
              </w:rPr>
              <w:t>Участники муниципальной программы</w:t>
            </w:r>
          </w:p>
        </w:tc>
        <w:tc>
          <w:tcPr>
            <w:tcW w:w="7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TableParagraph"/>
              <w:tabs>
                <w:tab w:val="left" w:pos="1681" w:leader="none"/>
                <w:tab w:val="left" w:pos="3111" w:leader="none"/>
                <w:tab w:val="left" w:pos="4198" w:leader="none"/>
              </w:tabs>
              <w:ind w:right="218" w:hanging="0"/>
              <w:jc w:val="both"/>
              <w:rPr>
                <w:spacing w:val="-1"/>
                <w:sz w:val="24"/>
                <w:szCs w:val="24"/>
                <w:lang w:val="ru-RU"/>
              </w:rPr>
            </w:pPr>
            <w:r>
              <w:rPr>
                <w:rFonts w:ascii="Times New Roman" w:hAnsi="Times New Roman"/>
                <w:spacing w:val="-1"/>
                <w:sz w:val="24"/>
                <w:szCs w:val="24"/>
                <w:lang w:val="ru-RU"/>
              </w:rPr>
              <w:t>Образовательные организации Лахденпохского муниципального района: МКОУ «Мийнальская основная общеобразовательная школа», МКОУ «Таунанская начальная общеобразовательная школа», МКОУ «Лахденпохская средняя общеобразовательная школа», МКОУ «Ихальская средняя общеобразовательная школа», МОУ «Райваттальская средняя общеобразовательная школа», МКОУ «Элисенваарская средняя общеобразовательная школа», МБОУ «Куркиекская средняя общеобразовательная школа», МБУ ДО «Детская школа искусств», МО ДО «Лахденпохская районная детско-юношеская спортивная школа», МБО ДО «Лахденпохский центр детского творчества», МКДОУ Детский сад «Журавлик» п.Куркиеки, МКДОУ детский сад «Росток» п.Эстерло, МКДОУ детский сад комбинированного вида «Радуга» г.Лахденпохья, МКДОУ детский сад №3 «Солнышко» г.Лахденпохья.</w:t>
            </w:r>
          </w:p>
        </w:tc>
      </w:tr>
      <w:tr>
        <w:trPr/>
        <w:tc>
          <w:tcPr>
            <w:tcW w:w="2775" w:type="dxa"/>
            <w:tcBorders>
              <w:top w:val="single" w:sz="4" w:space="0" w:color="00000A"/>
              <w:left w:val="single" w:sz="4" w:space="0" w:color="00000A"/>
              <w:bottom w:val="single" w:sz="4" w:space="0" w:color="00000A"/>
              <w:insideH w:val="single" w:sz="4" w:space="0" w:color="00000A"/>
            </w:tcBorders>
            <w:shd w:fill="auto" w:val="clear"/>
          </w:tcPr>
          <w:p>
            <w:pPr>
              <w:pStyle w:val="TableParagraph"/>
              <w:ind w:right="899" w:hanging="0"/>
              <w:jc w:val="both"/>
              <w:rPr>
                <w:rFonts w:ascii="Times New Roman" w:hAnsi="Times New Roman"/>
                <w:sz w:val="24"/>
                <w:szCs w:val="24"/>
              </w:rPr>
            </w:pPr>
            <w:r>
              <w:rPr>
                <w:rFonts w:ascii="Times New Roman" w:hAnsi="Times New Roman"/>
                <w:b/>
                <w:bCs/>
                <w:sz w:val="24"/>
                <w:szCs w:val="24"/>
                <w:lang w:val="ru-RU"/>
              </w:rPr>
              <w:t>Подпрограм</w:t>
            </w:r>
            <w:r>
              <w:rPr>
                <w:rFonts w:ascii="Times New Roman" w:hAnsi="Times New Roman"/>
                <w:b/>
                <w:bCs/>
                <w:sz w:val="24"/>
                <w:szCs w:val="24"/>
              </w:rPr>
              <w:t>мы муниципальной программы</w:t>
            </w:r>
          </w:p>
        </w:tc>
        <w:tc>
          <w:tcPr>
            <w:tcW w:w="7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TableParagraph"/>
              <w:ind w:right="1196" w:hanging="0"/>
              <w:jc w:val="both"/>
              <w:rPr>
                <w:lang w:val="ru-RU"/>
              </w:rPr>
            </w:pPr>
            <w:r>
              <w:rPr>
                <w:rFonts w:ascii="Times New Roman" w:hAnsi="Times New Roman"/>
                <w:sz w:val="24"/>
                <w:szCs w:val="24"/>
                <w:lang w:val="ru-RU"/>
              </w:rPr>
              <w:t>Подпрограмма 1. « Развитие дошкольного, общего и дополнительного образования».</w:t>
            </w:r>
          </w:p>
          <w:p>
            <w:pPr>
              <w:pStyle w:val="TableParagraph"/>
              <w:tabs>
                <w:tab w:val="left" w:pos="1386" w:leader="none"/>
              </w:tabs>
              <w:spacing w:before="1" w:after="200"/>
              <w:ind w:right="159" w:hanging="0"/>
              <w:jc w:val="both"/>
              <w:rPr>
                <w:rFonts w:ascii="Times New Roman" w:hAnsi="Times New Roman"/>
                <w:sz w:val="24"/>
                <w:szCs w:val="24"/>
              </w:rPr>
            </w:pPr>
            <w:r>
              <w:rPr>
                <w:rFonts w:ascii="Times New Roman" w:hAnsi="Times New Roman"/>
                <w:sz w:val="24"/>
                <w:szCs w:val="24"/>
                <w:lang w:val="ru-RU"/>
              </w:rPr>
              <w:t>Подпрограмма 2. « Одаренные дети».</w:t>
            </w:r>
          </w:p>
        </w:tc>
      </w:tr>
      <w:tr>
        <w:trPr/>
        <w:tc>
          <w:tcPr>
            <w:tcW w:w="2775" w:type="dxa"/>
            <w:tcBorders>
              <w:top w:val="single" w:sz="4" w:space="0" w:color="00000A"/>
              <w:left w:val="single" w:sz="4" w:space="0" w:color="00000A"/>
              <w:bottom w:val="single" w:sz="4" w:space="0" w:color="00000A"/>
              <w:insideH w:val="single" w:sz="4" w:space="0" w:color="00000A"/>
            </w:tcBorders>
            <w:shd w:fill="auto" w:val="clear"/>
          </w:tcPr>
          <w:p>
            <w:pPr>
              <w:pStyle w:val="TableParagraph"/>
              <w:tabs>
                <w:tab w:val="left" w:pos="954" w:leader="none"/>
              </w:tabs>
              <w:spacing w:before="1" w:after="200"/>
              <w:ind w:right="215" w:hanging="0"/>
              <w:rPr>
                <w:rFonts w:ascii="Times New Roman" w:hAnsi="Times New Roman"/>
                <w:sz w:val="24"/>
                <w:szCs w:val="24"/>
              </w:rPr>
            </w:pPr>
            <w:r>
              <w:rPr>
                <w:rFonts w:ascii="Times New Roman" w:hAnsi="Times New Roman"/>
                <w:b/>
                <w:bCs/>
                <w:sz w:val="24"/>
                <w:szCs w:val="24"/>
              </w:rPr>
              <w:t>Цель</w:t>
            </w:r>
            <w:r>
              <w:rPr>
                <w:rFonts w:ascii="Times New Roman" w:hAnsi="Times New Roman"/>
                <w:b/>
                <w:bCs/>
                <w:sz w:val="24"/>
                <w:szCs w:val="24"/>
                <w:lang w:val="ru-RU"/>
              </w:rPr>
              <w:t xml:space="preserve"> </w:t>
            </w:r>
            <w:r>
              <w:rPr>
                <w:rFonts w:ascii="Times New Roman" w:hAnsi="Times New Roman"/>
                <w:b/>
                <w:bCs/>
                <w:spacing w:val="-1"/>
                <w:sz w:val="24"/>
                <w:szCs w:val="24"/>
              </w:rPr>
              <w:t xml:space="preserve">муниципальной </w:t>
            </w:r>
            <w:r>
              <w:rPr>
                <w:rFonts w:ascii="Times New Roman" w:hAnsi="Times New Roman"/>
                <w:b/>
                <w:bCs/>
                <w:sz w:val="24"/>
                <w:szCs w:val="24"/>
              </w:rPr>
              <w:t>программы</w:t>
            </w:r>
          </w:p>
        </w:tc>
        <w:tc>
          <w:tcPr>
            <w:tcW w:w="7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TableParagraph"/>
              <w:ind w:right="216" w:hanging="0"/>
              <w:jc w:val="both"/>
              <w:rPr>
                <w:lang w:val="ru-RU"/>
              </w:rPr>
            </w:pPr>
            <w:r>
              <w:rPr>
                <w:rFonts w:ascii="Times New Roman" w:hAnsi="Times New Roman"/>
                <w:sz w:val="24"/>
                <w:szCs w:val="24"/>
                <w:lang w:val="ru-RU"/>
              </w:rPr>
              <w:t>Повышение качества и доступности образования</w:t>
            </w:r>
          </w:p>
        </w:tc>
      </w:tr>
      <w:tr>
        <w:trPr/>
        <w:tc>
          <w:tcPr>
            <w:tcW w:w="2775" w:type="dxa"/>
            <w:tcBorders>
              <w:top w:val="single" w:sz="4" w:space="0" w:color="00000A"/>
              <w:left w:val="single" w:sz="4" w:space="0" w:color="00000A"/>
              <w:bottom w:val="single" w:sz="4" w:space="0" w:color="00000A"/>
              <w:insideH w:val="single" w:sz="4" w:space="0" w:color="00000A"/>
            </w:tcBorders>
            <w:shd w:fill="auto" w:val="clear"/>
          </w:tcPr>
          <w:p>
            <w:pPr>
              <w:pStyle w:val="TableParagraph"/>
              <w:ind w:right="883" w:hanging="0"/>
              <w:rPr>
                <w:rFonts w:ascii="Times New Roman" w:hAnsi="Times New Roman"/>
                <w:sz w:val="24"/>
                <w:szCs w:val="24"/>
              </w:rPr>
            </w:pPr>
            <w:r>
              <w:rPr>
                <w:rFonts w:ascii="Times New Roman" w:hAnsi="Times New Roman"/>
                <w:b/>
                <w:bCs/>
                <w:sz w:val="24"/>
                <w:szCs w:val="24"/>
              </w:rPr>
              <w:t>Задачи муниципальной программы</w:t>
            </w:r>
          </w:p>
        </w:tc>
        <w:tc>
          <w:tcPr>
            <w:tcW w:w="7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Times New Roman" w:hAnsi="Times New Roman"/>
                <w:sz w:val="24"/>
                <w:szCs w:val="24"/>
              </w:rPr>
            </w:pPr>
            <w:r>
              <w:rPr>
                <w:rFonts w:cs="Times New Roman" w:ascii="Times New Roman" w:hAnsi="Times New Roman"/>
                <w:color w:val="000000"/>
                <w:sz w:val="24"/>
                <w:szCs w:val="24"/>
              </w:rPr>
              <w:t>1. Создание условий для удовлетворения потребностей граждан Лахденпохского муниципального района в качественном образовании;</w:t>
            </w:r>
          </w:p>
          <w:p>
            <w:pPr>
              <w:pStyle w:val="Normal"/>
              <w:spacing w:lineRule="auto" w:line="240" w:before="0" w:after="0"/>
              <w:jc w:val="both"/>
              <w:rPr>
                <w:rFonts w:ascii="Times New Roman" w:hAnsi="Times New Roman"/>
                <w:sz w:val="24"/>
                <w:szCs w:val="24"/>
              </w:rPr>
            </w:pPr>
            <w:r>
              <w:rPr>
                <w:rFonts w:cs="Times New Roman" w:ascii="Times New Roman" w:hAnsi="Times New Roman"/>
                <w:color w:val="000000"/>
                <w:sz w:val="24"/>
                <w:szCs w:val="24"/>
              </w:rPr>
              <w:t>2. Модернизация содержания образования;</w:t>
            </w:r>
          </w:p>
          <w:p>
            <w:pPr>
              <w:pStyle w:val="Normal"/>
              <w:spacing w:lineRule="auto" w:line="240" w:before="0" w:after="0"/>
              <w:jc w:val="both"/>
              <w:rPr>
                <w:rFonts w:ascii="Times New Roman" w:hAnsi="Times New Roman"/>
                <w:sz w:val="24"/>
                <w:szCs w:val="24"/>
              </w:rPr>
            </w:pPr>
            <w:r>
              <w:rPr>
                <w:rFonts w:cs="Times New Roman" w:ascii="Times New Roman" w:hAnsi="Times New Roman"/>
                <w:color w:val="000000"/>
                <w:sz w:val="24"/>
                <w:szCs w:val="24"/>
              </w:rPr>
              <w:t>3. Создание современной системы оценки качества образования на основе принципов открытости, объективности, прозрачности, общественно-профессионального участия.</w:t>
            </w:r>
          </w:p>
        </w:tc>
      </w:tr>
      <w:tr>
        <w:trPr/>
        <w:tc>
          <w:tcPr>
            <w:tcW w:w="2775" w:type="dxa"/>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240" w:before="0" w:after="0"/>
              <w:rPr>
                <w:rFonts w:ascii="Times New Roman" w:hAnsi="Times New Roman"/>
                <w:sz w:val="24"/>
                <w:szCs w:val="24"/>
              </w:rPr>
            </w:pPr>
            <w:r>
              <w:rPr>
                <w:rFonts w:cs="Times New Roman" w:ascii="Times New Roman" w:hAnsi="Times New Roman"/>
                <w:b/>
                <w:bCs/>
                <w:sz w:val="24"/>
                <w:szCs w:val="24"/>
              </w:rPr>
              <w:t>Целевые</w:t>
              <w:tab/>
            </w:r>
            <w:r>
              <w:rPr>
                <w:rFonts w:cs="Times New Roman" w:ascii="Times New Roman" w:hAnsi="Times New Roman"/>
                <w:b/>
                <w:bCs/>
                <w:spacing w:val="-1"/>
                <w:sz w:val="24"/>
                <w:szCs w:val="24"/>
              </w:rPr>
              <w:t xml:space="preserve">индикаторы </w:t>
            </w:r>
            <w:r>
              <w:rPr>
                <w:rFonts w:cs="Times New Roman" w:ascii="Times New Roman" w:hAnsi="Times New Roman"/>
                <w:b/>
                <w:bCs/>
                <w:sz w:val="24"/>
                <w:szCs w:val="24"/>
              </w:rPr>
              <w:t>муниципальной программы</w:t>
            </w:r>
          </w:p>
        </w:tc>
        <w:tc>
          <w:tcPr>
            <w:tcW w:w="7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TableParagraph"/>
              <w:tabs>
                <w:tab w:val="left" w:pos="368" w:leader="none"/>
              </w:tabs>
              <w:ind w:right="222" w:hanging="0"/>
              <w:jc w:val="both"/>
              <w:rPr>
                <w:sz w:val="24"/>
                <w:szCs w:val="24"/>
                <w:lang w:val="ru-RU"/>
              </w:rPr>
            </w:pPr>
            <w:r>
              <w:rPr>
                <w:rFonts w:ascii="Times New Roman" w:hAnsi="Times New Roman"/>
                <w:sz w:val="24"/>
                <w:szCs w:val="24"/>
                <w:lang w:val="ru-RU"/>
              </w:rPr>
              <w:t xml:space="preserve">1. Доля граждан, удовлетворенных качеством образовательных услуг, в процентном отношении от числа опрошенных </w:t>
            </w:r>
          </w:p>
          <w:p>
            <w:pPr>
              <w:pStyle w:val="TableParagraph"/>
              <w:spacing w:before="1" w:after="200"/>
              <w:ind w:right="449" w:hanging="0"/>
              <w:jc w:val="both"/>
              <w:rPr>
                <w:sz w:val="24"/>
                <w:szCs w:val="24"/>
                <w:lang w:val="ru-RU"/>
              </w:rPr>
            </w:pPr>
            <w:r>
              <w:rPr>
                <w:rFonts w:ascii="Times New Roman" w:hAnsi="Times New Roman"/>
                <w:sz w:val="24"/>
                <w:szCs w:val="24"/>
                <w:lang w:val="ru-RU"/>
              </w:rPr>
              <w:t xml:space="preserve">2. Доля обучающихся, повысивших результативность сдачи ЕГЭ, в процентном отношении от количества сдавших ЕГЭ </w:t>
            </w:r>
          </w:p>
          <w:p>
            <w:pPr>
              <w:pStyle w:val="TableParagraph"/>
              <w:tabs>
                <w:tab w:val="left" w:pos="368" w:leader="none"/>
              </w:tabs>
              <w:ind w:right="397" w:hanging="0"/>
              <w:jc w:val="both"/>
              <w:rPr>
                <w:sz w:val="24"/>
                <w:szCs w:val="24"/>
                <w:lang w:val="ru-RU"/>
              </w:rPr>
            </w:pPr>
            <w:r>
              <w:rPr>
                <w:rFonts w:ascii="Times New Roman" w:hAnsi="Times New Roman"/>
                <w:sz w:val="24"/>
                <w:szCs w:val="24"/>
                <w:lang w:val="ru-RU"/>
              </w:rPr>
              <w:t>3. Доля детей в возрасте от 5 до 18 лет, охваченных обучением по дополнительным образовательным программам.</w:t>
            </w:r>
          </w:p>
          <w:p>
            <w:pPr>
              <w:pStyle w:val="TableParagraph"/>
              <w:spacing w:before="1" w:after="200"/>
              <w:ind w:right="449" w:hanging="0"/>
              <w:jc w:val="both"/>
              <w:rPr>
                <w:lang w:val="ru-RU"/>
              </w:rPr>
            </w:pPr>
            <w:r>
              <w:rPr>
                <w:rFonts w:ascii="Times New Roman" w:hAnsi="Times New Roman"/>
                <w:sz w:val="24"/>
                <w:szCs w:val="24"/>
                <w:lang w:val="ru-RU"/>
              </w:rPr>
              <w:t>4. Доля детей обучающихся по общеобразовательным программам дошкольного образования.</w:t>
            </w:r>
          </w:p>
          <w:p>
            <w:pPr>
              <w:pStyle w:val="TableParagraph"/>
              <w:spacing w:before="1" w:after="200"/>
              <w:ind w:right="449" w:hanging="0"/>
              <w:jc w:val="both"/>
              <w:rPr>
                <w:lang w:val="ru-RU"/>
              </w:rPr>
            </w:pPr>
            <w:r>
              <w:rPr>
                <w:rFonts w:ascii="Times New Roman" w:hAnsi="Times New Roman"/>
                <w:sz w:val="24"/>
                <w:szCs w:val="24"/>
                <w:lang w:val="ru-RU"/>
              </w:rPr>
              <w:t>5. Количество образовательных организаций, реализующих механизмы внешней оценки качества образования на всех уровнях образования.</w:t>
            </w:r>
          </w:p>
          <w:p>
            <w:pPr>
              <w:pStyle w:val="TableParagraph"/>
              <w:spacing w:before="1" w:after="200"/>
              <w:ind w:right="449" w:hanging="0"/>
              <w:jc w:val="both"/>
              <w:rPr>
                <w:lang w:val="ru-RU"/>
              </w:rPr>
            </w:pPr>
            <w:r>
              <w:rPr>
                <w:rFonts w:ascii="Times New Roman" w:hAnsi="Times New Roman"/>
                <w:sz w:val="24"/>
                <w:szCs w:val="24"/>
                <w:lang w:val="ru-RU"/>
              </w:rPr>
              <w:t>6. Доля педагогических работников образовательных организаций, проходящих повышение квалификации и (или) переподготовку по профилю педагогической деятельности не реже чем один раз в три года, в общем числе педагогических работников образовательных организаций Лахденпохского района</w:t>
            </w:r>
          </w:p>
        </w:tc>
      </w:tr>
      <w:tr>
        <w:trPr/>
        <w:tc>
          <w:tcPr>
            <w:tcW w:w="2775" w:type="dxa"/>
            <w:tcBorders>
              <w:top w:val="single" w:sz="4" w:space="0" w:color="00000A"/>
              <w:left w:val="single" w:sz="4" w:space="0" w:color="00000A"/>
              <w:bottom w:val="single" w:sz="4" w:space="0" w:color="00000A"/>
              <w:insideH w:val="single" w:sz="4" w:space="0" w:color="00000A"/>
            </w:tcBorders>
            <w:shd w:fill="auto" w:val="clear"/>
          </w:tcPr>
          <w:p>
            <w:pPr>
              <w:pStyle w:val="Normal"/>
              <w:spacing w:lineRule="auto" w:line="240" w:before="0" w:after="0"/>
              <w:rPr>
                <w:rFonts w:ascii="Times New Roman" w:hAnsi="Times New Roman" w:cs="Times New Roman"/>
                <w:b/>
                <w:b/>
                <w:bCs/>
              </w:rPr>
            </w:pPr>
            <w:r>
              <w:rPr>
                <w:rFonts w:cs="Times New Roman" w:ascii="Times New Roman" w:hAnsi="Times New Roman"/>
                <w:b/>
                <w:bCs/>
                <w:sz w:val="24"/>
                <w:szCs w:val="24"/>
              </w:rPr>
              <w:t>Конечные</w:t>
              <w:tab/>
              <w:t>результаты муниципальной  программы</w:t>
            </w:r>
          </w:p>
        </w:tc>
        <w:tc>
          <w:tcPr>
            <w:tcW w:w="7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TableParagraph"/>
              <w:tabs>
                <w:tab w:val="left" w:pos="406" w:leader="none"/>
              </w:tabs>
              <w:ind w:right="216" w:hanging="0"/>
              <w:jc w:val="both"/>
              <w:rPr>
                <w:sz w:val="24"/>
                <w:szCs w:val="24"/>
                <w:lang w:val="ru-RU"/>
              </w:rPr>
            </w:pPr>
            <w:r>
              <w:rPr>
                <w:rFonts w:ascii="Times New Roman" w:hAnsi="Times New Roman"/>
                <w:sz w:val="24"/>
                <w:szCs w:val="24"/>
                <w:lang w:val="ru-RU"/>
              </w:rPr>
              <w:t>По отношению к 2017 году:</w:t>
            </w:r>
          </w:p>
          <w:p>
            <w:pPr>
              <w:pStyle w:val="TableParagraph"/>
              <w:tabs>
                <w:tab w:val="left" w:pos="406" w:leader="none"/>
              </w:tabs>
              <w:ind w:right="216" w:hanging="0"/>
              <w:jc w:val="both"/>
              <w:rPr>
                <w:lang w:val="ru-RU"/>
              </w:rPr>
            </w:pPr>
            <w:r>
              <w:rPr>
                <w:rFonts w:ascii="Times New Roman" w:hAnsi="Times New Roman"/>
                <w:sz w:val="24"/>
                <w:szCs w:val="24"/>
                <w:lang w:val="ru-RU"/>
              </w:rPr>
              <w:t>1. Рост удовлетворенности населения Лахденпохского муниципального района качеством образовательных</w:t>
            </w:r>
            <w:r>
              <w:rPr>
                <w:rFonts w:ascii="Times New Roman" w:hAnsi="Times New Roman"/>
                <w:spacing w:val="-20"/>
                <w:sz w:val="24"/>
                <w:szCs w:val="24"/>
                <w:lang w:val="ru-RU"/>
              </w:rPr>
              <w:t xml:space="preserve"> </w:t>
            </w:r>
            <w:r>
              <w:rPr>
                <w:rFonts w:ascii="Times New Roman" w:hAnsi="Times New Roman"/>
                <w:sz w:val="24"/>
                <w:szCs w:val="24"/>
                <w:lang w:val="ru-RU"/>
              </w:rPr>
              <w:t>услуг 117%</w:t>
            </w:r>
          </w:p>
          <w:p>
            <w:pPr>
              <w:pStyle w:val="TableParagraph"/>
              <w:tabs>
                <w:tab w:val="left" w:pos="533" w:leader="none"/>
              </w:tabs>
              <w:spacing w:before="1" w:after="200"/>
              <w:ind w:right="216" w:hanging="0"/>
              <w:jc w:val="both"/>
              <w:rPr>
                <w:sz w:val="24"/>
                <w:szCs w:val="24"/>
                <w:lang w:val="ru-RU"/>
              </w:rPr>
            </w:pPr>
            <w:r>
              <w:rPr>
                <w:rFonts w:ascii="Times New Roman" w:hAnsi="Times New Roman"/>
                <w:sz w:val="24"/>
                <w:szCs w:val="24"/>
                <w:lang w:val="ru-RU"/>
              </w:rPr>
              <w:t>2. Повышение результативности и сдачи ЕГЭ 96,3%</w:t>
            </w:r>
          </w:p>
          <w:p>
            <w:pPr>
              <w:pStyle w:val="TableParagraph"/>
              <w:tabs>
                <w:tab w:val="left" w:pos="533" w:leader="none"/>
              </w:tabs>
              <w:spacing w:before="1" w:after="200"/>
              <w:ind w:right="216" w:hanging="0"/>
              <w:jc w:val="both"/>
              <w:rPr>
                <w:color w:val="00000A"/>
                <w:sz w:val="24"/>
                <w:szCs w:val="24"/>
                <w:lang w:val="ru-RU"/>
              </w:rPr>
            </w:pPr>
            <w:r>
              <w:rPr>
                <w:rFonts w:ascii="Times New Roman" w:hAnsi="Times New Roman"/>
                <w:color w:val="00000A"/>
                <w:sz w:val="24"/>
                <w:szCs w:val="24"/>
                <w:lang w:val="ru-RU"/>
              </w:rPr>
              <w:t>3. Увеличение охвата детей в возрасте от 5 до 18 лет, обучающихся по дополнительным образовательным программам 105%</w:t>
            </w:r>
          </w:p>
          <w:p>
            <w:pPr>
              <w:pStyle w:val="TableParagraph"/>
              <w:tabs>
                <w:tab w:val="left" w:pos="533" w:leader="none"/>
              </w:tabs>
              <w:spacing w:before="1" w:after="200"/>
              <w:ind w:right="216" w:hanging="0"/>
              <w:jc w:val="both"/>
              <w:rPr>
                <w:sz w:val="24"/>
                <w:szCs w:val="24"/>
                <w:lang w:val="ru-RU"/>
              </w:rPr>
            </w:pPr>
            <w:r>
              <w:rPr>
                <w:rFonts w:ascii="Times New Roman" w:hAnsi="Times New Roman"/>
                <w:sz w:val="24"/>
                <w:szCs w:val="24"/>
                <w:lang w:val="ru-RU"/>
              </w:rPr>
              <w:t>4. Увеличение охвата детей обучающихся по общеобразовательным программам дошкольного образования 102 %</w:t>
            </w:r>
          </w:p>
          <w:p>
            <w:pPr>
              <w:pStyle w:val="TableParagraph"/>
              <w:tabs>
                <w:tab w:val="left" w:pos="533" w:leader="none"/>
              </w:tabs>
              <w:spacing w:before="1" w:after="200"/>
              <w:ind w:right="216" w:hanging="0"/>
              <w:jc w:val="both"/>
              <w:rPr>
                <w:sz w:val="24"/>
                <w:szCs w:val="24"/>
                <w:lang w:val="ru-RU"/>
              </w:rPr>
            </w:pPr>
            <w:r>
              <w:rPr>
                <w:rFonts w:ascii="Times New Roman" w:hAnsi="Times New Roman"/>
                <w:sz w:val="24"/>
                <w:szCs w:val="24"/>
                <w:lang w:val="ru-RU"/>
              </w:rPr>
              <w:t>5. Реализация механизмов внешней оценки качества образования на всех уровнях образования 300 %</w:t>
            </w:r>
          </w:p>
          <w:p>
            <w:pPr>
              <w:pStyle w:val="TableParagraph"/>
              <w:tabs>
                <w:tab w:val="left" w:pos="368" w:leader="none"/>
              </w:tabs>
              <w:ind w:right="222" w:hanging="0"/>
              <w:jc w:val="both"/>
              <w:rPr>
                <w:sz w:val="24"/>
                <w:szCs w:val="24"/>
                <w:lang w:val="ru-RU"/>
              </w:rPr>
            </w:pPr>
            <w:r>
              <w:rPr>
                <w:rFonts w:ascii="Times New Roman" w:hAnsi="Times New Roman"/>
                <w:sz w:val="24"/>
                <w:szCs w:val="24"/>
                <w:lang w:val="ru-RU"/>
              </w:rPr>
              <w:t>6. Повышение квалификации педагогическими и руководящими работниками системы образования 118 %</w:t>
            </w:r>
          </w:p>
        </w:tc>
      </w:tr>
      <w:tr>
        <w:trPr/>
        <w:tc>
          <w:tcPr>
            <w:tcW w:w="2775" w:type="dxa"/>
            <w:tcBorders>
              <w:top w:val="single" w:sz="4" w:space="0" w:color="00000A"/>
              <w:left w:val="single" w:sz="4" w:space="0" w:color="00000A"/>
              <w:bottom w:val="single" w:sz="4" w:space="0" w:color="00000A"/>
              <w:insideH w:val="single" w:sz="4" w:space="0" w:color="00000A"/>
            </w:tcBorders>
            <w:shd w:fill="auto" w:val="clear"/>
          </w:tcPr>
          <w:p>
            <w:pPr>
              <w:pStyle w:val="TableParagraph"/>
              <w:ind w:right="882" w:hanging="0"/>
              <w:rPr>
                <w:lang w:val="ru-RU"/>
              </w:rPr>
            </w:pPr>
            <w:r>
              <w:rPr>
                <w:rFonts w:ascii="Times New Roman" w:hAnsi="Times New Roman"/>
                <w:b/>
                <w:bCs/>
                <w:sz w:val="24"/>
                <w:szCs w:val="24"/>
                <w:lang w:val="ru-RU"/>
              </w:rPr>
              <w:t>Этапы и сроки реализации муниципальной программы</w:t>
            </w:r>
          </w:p>
          <w:p>
            <w:pPr>
              <w:pStyle w:val="TableParagraph"/>
              <w:ind w:right="882" w:hanging="0"/>
              <w:rPr>
                <w:rFonts w:ascii="Times New Roman" w:hAnsi="Times New Roman"/>
                <w:b/>
                <w:b/>
                <w:bCs/>
                <w:sz w:val="24"/>
                <w:szCs w:val="24"/>
                <w:lang w:val="ru-RU"/>
              </w:rPr>
            </w:pPr>
            <w:r>
              <w:rPr>
                <w:rFonts w:ascii="Times New Roman" w:hAnsi="Times New Roman"/>
                <w:b/>
                <w:bCs/>
                <w:sz w:val="24"/>
                <w:szCs w:val="24"/>
                <w:lang w:val="ru-RU"/>
              </w:rPr>
            </w:r>
          </w:p>
          <w:p>
            <w:pPr>
              <w:pStyle w:val="TableParagraph"/>
              <w:ind w:right="882" w:hanging="0"/>
              <w:rPr>
                <w:rFonts w:ascii="Times New Roman" w:hAnsi="Times New Roman"/>
                <w:b/>
                <w:b/>
                <w:bCs/>
                <w:sz w:val="24"/>
                <w:szCs w:val="24"/>
                <w:lang w:val="ru-RU"/>
              </w:rPr>
            </w:pPr>
            <w:r>
              <w:rPr>
                <w:rFonts w:ascii="Times New Roman" w:hAnsi="Times New Roman"/>
                <w:b/>
                <w:bCs/>
                <w:sz w:val="24"/>
                <w:szCs w:val="24"/>
                <w:lang w:val="ru-RU"/>
              </w:rPr>
            </w:r>
          </w:p>
        </w:tc>
        <w:tc>
          <w:tcPr>
            <w:tcW w:w="7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TableParagraph"/>
              <w:ind w:right="218" w:hanging="0"/>
              <w:jc w:val="both"/>
              <w:rPr>
                <w:lang w:val="ru-RU"/>
              </w:rPr>
            </w:pPr>
            <w:r>
              <w:rPr>
                <w:rFonts w:ascii="Times New Roman" w:hAnsi="Times New Roman"/>
                <w:sz w:val="24"/>
                <w:szCs w:val="24"/>
                <w:lang w:val="ru-RU"/>
              </w:rPr>
              <w:t>Срок  реализации:  2019-2023 годы,</w:t>
            </w:r>
          </w:p>
          <w:p>
            <w:pPr>
              <w:pStyle w:val="TableParagraph"/>
              <w:ind w:left="33" w:right="218" w:hanging="0"/>
              <w:jc w:val="both"/>
              <w:rPr>
                <w:lang w:val="ru-RU"/>
              </w:rPr>
            </w:pPr>
            <w:r>
              <w:rPr>
                <w:rFonts w:ascii="Times New Roman" w:hAnsi="Times New Roman"/>
                <w:sz w:val="24"/>
                <w:szCs w:val="24"/>
                <w:lang w:val="ru-RU"/>
              </w:rPr>
              <w:t>Реализация муниципальной программы будет осуществляться без выделения этапов.</w:t>
            </w:r>
          </w:p>
        </w:tc>
      </w:tr>
      <w:tr>
        <w:trPr/>
        <w:tc>
          <w:tcPr>
            <w:tcW w:w="2775" w:type="dxa"/>
            <w:tcBorders>
              <w:top w:val="single" w:sz="4" w:space="0" w:color="00000A"/>
              <w:left w:val="single" w:sz="4" w:space="0" w:color="00000A"/>
              <w:bottom w:val="single" w:sz="4" w:space="0" w:color="00000A"/>
              <w:insideH w:val="single" w:sz="4" w:space="0" w:color="00000A"/>
            </w:tcBorders>
            <w:shd w:fill="auto" w:val="clear"/>
          </w:tcPr>
          <w:p>
            <w:pPr>
              <w:pStyle w:val="TableParagraph"/>
              <w:ind w:right="150" w:hanging="0"/>
              <w:rPr>
                <w:lang w:val="ru-RU"/>
              </w:rPr>
            </w:pPr>
            <w:r>
              <w:rPr>
                <w:rFonts w:ascii="Times New Roman" w:hAnsi="Times New Roman"/>
                <w:b/>
                <w:bCs/>
                <w:sz w:val="24"/>
                <w:szCs w:val="24"/>
                <w:lang w:val="ru-RU"/>
              </w:rPr>
              <w:t>Финансовое обеспечение муниципальной программы с указанием источников</w:t>
            </w:r>
          </w:p>
        </w:tc>
        <w:tc>
          <w:tcPr>
            <w:tcW w:w="7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TableParagraph"/>
              <w:ind w:right="160" w:hanging="0"/>
              <w:jc w:val="both"/>
              <w:rPr>
                <w:lang w:val="ru-RU"/>
              </w:rPr>
            </w:pPr>
            <w:r>
              <w:rPr>
                <w:rFonts w:ascii="Times New Roman" w:hAnsi="Times New Roman"/>
                <w:sz w:val="24"/>
                <w:szCs w:val="24"/>
                <w:lang w:val="ru-RU"/>
              </w:rPr>
              <w:t xml:space="preserve">Общий объем бюджетных ассигнований на реализацию муниципальной программы за счет всех источников финансирования составляет </w:t>
            </w:r>
            <w:r>
              <w:rPr>
                <w:rFonts w:ascii="Times New Roman" w:hAnsi="Times New Roman"/>
                <w:b/>
                <w:bCs/>
                <w:sz w:val="24"/>
                <w:szCs w:val="24"/>
                <w:lang w:val="ru-RU"/>
              </w:rPr>
              <w:t xml:space="preserve"> </w:t>
            </w:r>
            <w:r>
              <w:rPr>
                <w:rFonts w:ascii="Times New Roman" w:hAnsi="Times New Roman"/>
                <w:b/>
                <w:bCs/>
                <w:sz w:val="24"/>
                <w:szCs w:val="24"/>
                <w:u w:val="single"/>
                <w:lang w:val="ru-RU"/>
              </w:rPr>
              <w:t xml:space="preserve">1120283,86 </w:t>
            </w:r>
            <w:r>
              <w:rPr>
                <w:rFonts w:ascii="Times New Roman" w:hAnsi="Times New Roman"/>
                <w:b/>
                <w:bCs/>
                <w:sz w:val="24"/>
                <w:szCs w:val="24"/>
                <w:lang w:val="ru-RU"/>
              </w:rPr>
              <w:t xml:space="preserve"> </w:t>
            </w:r>
            <w:r>
              <w:rPr>
                <w:rFonts w:ascii="Times New Roman" w:hAnsi="Times New Roman"/>
                <w:sz w:val="24"/>
                <w:szCs w:val="24"/>
                <w:lang w:val="ru-RU"/>
              </w:rPr>
              <w:t>тыс. рублей, в том числе по</w:t>
            </w:r>
            <w:r>
              <w:rPr>
                <w:rFonts w:ascii="Times New Roman" w:hAnsi="Times New Roman"/>
                <w:spacing w:val="-9"/>
                <w:sz w:val="24"/>
                <w:szCs w:val="24"/>
                <w:lang w:val="ru-RU"/>
              </w:rPr>
              <w:t xml:space="preserve"> </w:t>
            </w:r>
            <w:r>
              <w:rPr>
                <w:rFonts w:ascii="Times New Roman" w:hAnsi="Times New Roman"/>
                <w:sz w:val="24"/>
                <w:szCs w:val="24"/>
                <w:lang w:val="ru-RU"/>
              </w:rPr>
              <w:t>годам:</w:t>
            </w:r>
          </w:p>
          <w:p>
            <w:pPr>
              <w:pStyle w:val="TableParagraph"/>
              <w:spacing w:before="1" w:after="200"/>
              <w:jc w:val="both"/>
              <w:rPr>
                <w:lang w:val="ru-RU"/>
              </w:rPr>
            </w:pPr>
            <w:r>
              <w:rPr>
                <w:rFonts w:ascii="Times New Roman" w:hAnsi="Times New Roman"/>
                <w:sz w:val="24"/>
                <w:szCs w:val="24"/>
                <w:lang w:val="ru-RU"/>
              </w:rPr>
              <w:t xml:space="preserve">2019 –   325315,43  тыс.руб.;  </w:t>
            </w:r>
          </w:p>
          <w:p>
            <w:pPr>
              <w:pStyle w:val="TableParagraph"/>
              <w:spacing w:before="1" w:after="200"/>
              <w:jc w:val="both"/>
              <w:rPr>
                <w:lang w:val="ru-RU"/>
              </w:rPr>
            </w:pPr>
            <w:r>
              <w:rPr>
                <w:rFonts w:ascii="Times New Roman" w:hAnsi="Times New Roman"/>
                <w:sz w:val="24"/>
                <w:szCs w:val="24"/>
                <w:lang w:val="ru-RU"/>
              </w:rPr>
              <w:t xml:space="preserve">2020 –   290 516,53   тыс.руб.;   </w:t>
            </w:r>
          </w:p>
          <w:p>
            <w:pPr>
              <w:pStyle w:val="TableParagraph"/>
              <w:spacing w:before="1" w:after="200"/>
              <w:jc w:val="both"/>
              <w:rPr>
                <w:lang w:val="ru-RU"/>
              </w:rPr>
            </w:pPr>
            <w:r>
              <w:rPr>
                <w:rFonts w:ascii="Times New Roman" w:hAnsi="Times New Roman"/>
                <w:sz w:val="24"/>
                <w:szCs w:val="24"/>
                <w:lang w:val="ru-RU"/>
              </w:rPr>
              <w:t xml:space="preserve">2021 –   255334,53    тыс.руб.;  </w:t>
            </w:r>
          </w:p>
          <w:p>
            <w:pPr>
              <w:pStyle w:val="TableParagraph"/>
              <w:spacing w:before="1" w:after="200"/>
              <w:jc w:val="both"/>
              <w:rPr>
                <w:lang w:val="ru-RU"/>
              </w:rPr>
            </w:pPr>
            <w:r>
              <w:rPr>
                <w:rFonts w:ascii="Times New Roman" w:hAnsi="Times New Roman"/>
                <w:sz w:val="24"/>
                <w:szCs w:val="24"/>
                <w:lang w:val="ru-RU"/>
              </w:rPr>
              <w:t>2022 –   249117,37  тыс.руб.;</w:t>
            </w:r>
          </w:p>
          <w:p>
            <w:pPr>
              <w:pStyle w:val="TableParagraph"/>
              <w:spacing w:before="1" w:after="200"/>
              <w:jc w:val="both"/>
              <w:rPr>
                <w:lang w:val="ru-RU"/>
              </w:rPr>
            </w:pPr>
            <w:r>
              <w:rPr>
                <w:rFonts w:ascii="Times New Roman" w:hAnsi="Times New Roman"/>
                <w:sz w:val="24"/>
                <w:szCs w:val="24"/>
                <w:lang w:val="ru-RU"/>
              </w:rPr>
              <w:t>2023 — 0  тыс.руб.</w:t>
            </w:r>
          </w:p>
          <w:p>
            <w:pPr>
              <w:pStyle w:val="TableParagraph"/>
              <w:spacing w:before="1" w:after="200"/>
              <w:ind w:left="273" w:hanging="0"/>
              <w:jc w:val="both"/>
              <w:rPr>
                <w:rFonts w:ascii="Times New Roman" w:hAnsi="Times New Roman"/>
                <w:sz w:val="24"/>
                <w:szCs w:val="24"/>
                <w:lang w:val="ru-RU"/>
              </w:rPr>
            </w:pPr>
            <w:r>
              <w:rPr>
                <w:rFonts w:ascii="Times New Roman" w:hAnsi="Times New Roman"/>
                <w:sz w:val="24"/>
                <w:szCs w:val="24"/>
                <w:lang w:val="ru-RU"/>
              </w:rPr>
            </w:r>
          </w:p>
          <w:p>
            <w:pPr>
              <w:pStyle w:val="TableParagraph"/>
              <w:ind w:right="159" w:hanging="0"/>
              <w:rPr>
                <w:lang w:val="ru-RU"/>
              </w:rPr>
            </w:pPr>
            <w:r>
              <w:rPr>
                <w:rFonts w:ascii="Times New Roman" w:hAnsi="Times New Roman"/>
                <w:sz w:val="24"/>
                <w:szCs w:val="24"/>
                <w:lang w:val="ru-RU"/>
              </w:rPr>
              <w:t xml:space="preserve">Объем финансового обеспечения муниципальной программы по годам за счет местного бюджета составит </w:t>
            </w:r>
            <w:r>
              <w:rPr>
                <w:rFonts w:ascii="Times New Roman" w:hAnsi="Times New Roman"/>
                <w:b/>
                <w:sz w:val="24"/>
                <w:szCs w:val="24"/>
                <w:lang w:val="ru-RU"/>
              </w:rPr>
              <w:t xml:space="preserve"> 482339,17</w:t>
            </w:r>
            <w:r>
              <w:rPr>
                <w:rFonts w:ascii="Times New Roman" w:hAnsi="Times New Roman"/>
                <w:sz w:val="24"/>
                <w:szCs w:val="24"/>
                <w:lang w:val="ru-RU"/>
              </w:rPr>
              <w:t>тыс. рублей:</w:t>
            </w:r>
          </w:p>
          <w:p>
            <w:pPr>
              <w:pStyle w:val="TableParagraph"/>
              <w:rPr>
                <w:lang w:val="ru-RU"/>
              </w:rPr>
            </w:pPr>
            <w:r>
              <w:rPr>
                <w:rFonts w:ascii="Times New Roman" w:hAnsi="Times New Roman"/>
                <w:sz w:val="24"/>
                <w:szCs w:val="24"/>
                <w:lang w:val="ru-RU"/>
              </w:rPr>
              <w:t>2019  - 150601,74  тыс.руб.;</w:t>
            </w:r>
          </w:p>
          <w:p>
            <w:pPr>
              <w:pStyle w:val="TableParagraph"/>
              <w:rPr>
                <w:lang w:val="ru-RU"/>
              </w:rPr>
            </w:pPr>
            <w:r>
              <w:rPr>
                <w:rFonts w:ascii="Times New Roman" w:hAnsi="Times New Roman"/>
                <w:sz w:val="24"/>
                <w:szCs w:val="24"/>
                <w:lang w:val="ru-RU"/>
              </w:rPr>
              <w:t>2020 – 121427,53  тыс.руб.;</w:t>
            </w:r>
          </w:p>
          <w:p>
            <w:pPr>
              <w:pStyle w:val="TableParagraph"/>
              <w:rPr>
                <w:lang w:val="ru-RU"/>
              </w:rPr>
            </w:pPr>
            <w:r>
              <w:rPr>
                <w:rFonts w:ascii="Times New Roman" w:hAnsi="Times New Roman"/>
                <w:sz w:val="24"/>
                <w:szCs w:val="24"/>
                <w:lang w:val="ru-RU"/>
              </w:rPr>
              <w:t>2021 –  103818,53  тыс.руб.;</w:t>
            </w:r>
          </w:p>
          <w:p>
            <w:pPr>
              <w:pStyle w:val="TableParagraph"/>
              <w:rPr>
                <w:lang w:val="ru-RU"/>
              </w:rPr>
            </w:pPr>
            <w:r>
              <w:rPr>
                <w:rFonts w:ascii="Times New Roman" w:hAnsi="Times New Roman"/>
                <w:sz w:val="24"/>
                <w:szCs w:val="24"/>
                <w:lang w:val="ru-RU"/>
              </w:rPr>
              <w:t>2022 – 106491,37  тыс.руб.;</w:t>
            </w:r>
          </w:p>
          <w:p>
            <w:pPr>
              <w:pStyle w:val="TableParagraph"/>
              <w:spacing w:before="10" w:after="200"/>
              <w:rPr>
                <w:lang w:val="ru-RU"/>
              </w:rPr>
            </w:pPr>
            <w:r>
              <w:rPr>
                <w:rFonts w:ascii="Times New Roman" w:hAnsi="Times New Roman"/>
                <w:sz w:val="24"/>
                <w:szCs w:val="24"/>
                <w:lang w:val="ru-RU"/>
              </w:rPr>
              <w:t>2023 -  0,00  тыс.руб.;</w:t>
            </w:r>
          </w:p>
          <w:p>
            <w:pPr>
              <w:pStyle w:val="TableParagraph"/>
              <w:spacing w:before="1" w:after="200"/>
              <w:ind w:right="218" w:hanging="0"/>
              <w:rPr>
                <w:lang w:val="ru-RU"/>
              </w:rPr>
            </w:pPr>
            <w:r>
              <w:rPr>
                <w:rFonts w:ascii="Times New Roman" w:hAnsi="Times New Roman"/>
                <w:sz w:val="24"/>
                <w:szCs w:val="24"/>
                <w:lang w:val="ru-RU"/>
              </w:rPr>
              <w:t xml:space="preserve">В том числе объем финансового обеспечения муниципальной программой за счет прочих безвозмездных поступлений </w:t>
            </w:r>
            <w:r>
              <w:rPr>
                <w:rFonts w:ascii="Times New Roman" w:hAnsi="Times New Roman"/>
                <w:b/>
                <w:sz w:val="24"/>
                <w:szCs w:val="24"/>
                <w:u w:val="single"/>
                <w:lang w:val="ru-RU"/>
              </w:rPr>
              <w:t>500,00</w:t>
            </w:r>
            <w:r>
              <w:rPr>
                <w:rFonts w:ascii="Times New Roman" w:hAnsi="Times New Roman"/>
                <w:sz w:val="24"/>
                <w:szCs w:val="24"/>
                <w:lang w:val="ru-RU"/>
              </w:rPr>
              <w:t xml:space="preserve"> тыс. руб.:</w:t>
            </w:r>
          </w:p>
          <w:p>
            <w:pPr>
              <w:pStyle w:val="TableParagraph"/>
              <w:rPr>
                <w:lang w:val="ru-RU"/>
              </w:rPr>
            </w:pPr>
            <w:r>
              <w:rPr>
                <w:rFonts w:ascii="Times New Roman" w:hAnsi="Times New Roman"/>
                <w:sz w:val="24"/>
                <w:szCs w:val="24"/>
                <w:lang w:val="ru-RU"/>
              </w:rPr>
              <w:t>2019 – 500,000   тыс.руб.;</w:t>
            </w:r>
          </w:p>
          <w:p>
            <w:pPr>
              <w:pStyle w:val="TableParagraph"/>
              <w:rPr>
                <w:lang w:val="ru-RU"/>
              </w:rPr>
            </w:pPr>
            <w:r>
              <w:rPr>
                <w:rFonts w:ascii="Times New Roman" w:hAnsi="Times New Roman"/>
                <w:sz w:val="24"/>
                <w:szCs w:val="24"/>
                <w:lang w:val="ru-RU"/>
              </w:rPr>
              <w:t>2020 – 0,00   тыс.руб.;</w:t>
            </w:r>
          </w:p>
          <w:p>
            <w:pPr>
              <w:pStyle w:val="TableParagraph"/>
              <w:rPr>
                <w:lang w:val="ru-RU"/>
              </w:rPr>
            </w:pPr>
            <w:r>
              <w:rPr>
                <w:rFonts w:ascii="Times New Roman" w:hAnsi="Times New Roman"/>
                <w:sz w:val="24"/>
                <w:szCs w:val="24"/>
                <w:lang w:val="ru-RU"/>
              </w:rPr>
              <w:t>2021 –  0,00 тыс.руб.;</w:t>
            </w:r>
          </w:p>
          <w:p>
            <w:pPr>
              <w:pStyle w:val="TableParagraph"/>
              <w:rPr>
                <w:lang w:val="ru-RU"/>
              </w:rPr>
            </w:pPr>
            <w:r>
              <w:rPr>
                <w:rFonts w:ascii="Times New Roman" w:hAnsi="Times New Roman"/>
                <w:sz w:val="24"/>
                <w:szCs w:val="24"/>
                <w:lang w:val="ru-RU"/>
              </w:rPr>
              <w:t>2022 – 0,00   тыс.руб.;</w:t>
            </w:r>
          </w:p>
          <w:p>
            <w:pPr>
              <w:pStyle w:val="TableParagraph"/>
              <w:spacing w:before="10" w:after="200"/>
              <w:ind w:right="218" w:hanging="0"/>
              <w:rPr>
                <w:sz w:val="24"/>
                <w:szCs w:val="24"/>
                <w:lang w:val="ru-RU"/>
              </w:rPr>
            </w:pPr>
            <w:r>
              <w:rPr>
                <w:rFonts w:ascii="Times New Roman" w:hAnsi="Times New Roman"/>
                <w:sz w:val="24"/>
                <w:szCs w:val="24"/>
                <w:lang w:val="ru-RU"/>
              </w:rPr>
              <w:t>2023 -  0,00   тыс.руб.;</w:t>
            </w:r>
          </w:p>
          <w:p>
            <w:pPr>
              <w:pStyle w:val="TableParagraph"/>
              <w:spacing w:before="10" w:after="200"/>
              <w:ind w:right="218" w:hanging="0"/>
              <w:rPr>
                <w:sz w:val="24"/>
                <w:szCs w:val="24"/>
                <w:lang w:val="ru-RU"/>
              </w:rPr>
            </w:pPr>
            <w:r>
              <w:rPr>
                <w:rFonts w:ascii="Times New Roman" w:hAnsi="Times New Roman"/>
                <w:sz w:val="24"/>
                <w:szCs w:val="24"/>
                <w:lang w:val="ru-RU"/>
              </w:rPr>
              <w:t xml:space="preserve">Объем финансового обеспечения муниципальной программы по годам за счет средств из бюджета Республики Карелия </w:t>
            </w:r>
            <w:r>
              <w:rPr>
                <w:rFonts w:ascii="Times New Roman" w:hAnsi="Times New Roman"/>
                <w:b/>
                <w:sz w:val="24"/>
                <w:szCs w:val="24"/>
                <w:u w:val="single"/>
                <w:lang w:val="ru-RU"/>
              </w:rPr>
              <w:t>637444,690</w:t>
            </w:r>
            <w:r>
              <w:rPr>
                <w:rFonts w:ascii="Times New Roman" w:hAnsi="Times New Roman"/>
                <w:sz w:val="24"/>
                <w:szCs w:val="24"/>
                <w:lang w:val="ru-RU"/>
              </w:rPr>
              <w:t xml:space="preserve"> тыс.руб.:</w:t>
            </w:r>
          </w:p>
          <w:p>
            <w:pPr>
              <w:pStyle w:val="TableParagraph"/>
              <w:spacing w:before="10" w:after="200"/>
              <w:ind w:right="215" w:hanging="0"/>
              <w:rPr>
                <w:lang w:val="ru-RU"/>
              </w:rPr>
            </w:pPr>
            <w:r>
              <w:rPr>
                <w:rFonts w:ascii="Times New Roman" w:hAnsi="Times New Roman"/>
                <w:sz w:val="24"/>
                <w:szCs w:val="24"/>
                <w:lang w:val="ru-RU"/>
              </w:rPr>
              <w:t>2019 – 174213,69  тыс.руб.;</w:t>
            </w:r>
          </w:p>
          <w:p>
            <w:pPr>
              <w:pStyle w:val="TableParagraph"/>
              <w:spacing w:before="10" w:after="200"/>
              <w:ind w:right="215" w:hanging="0"/>
              <w:rPr>
                <w:lang w:val="ru-RU"/>
              </w:rPr>
            </w:pPr>
            <w:r>
              <w:rPr>
                <w:rFonts w:ascii="Times New Roman" w:hAnsi="Times New Roman"/>
                <w:sz w:val="24"/>
                <w:szCs w:val="24"/>
                <w:lang w:val="ru-RU"/>
              </w:rPr>
              <w:t>2020 – 169089,00  тыс.руб.;</w:t>
            </w:r>
          </w:p>
          <w:p>
            <w:pPr>
              <w:pStyle w:val="TableParagraph"/>
              <w:spacing w:before="10" w:after="200"/>
              <w:ind w:right="215" w:hanging="0"/>
              <w:rPr>
                <w:lang w:val="ru-RU"/>
              </w:rPr>
            </w:pPr>
            <w:r>
              <w:rPr>
                <w:rFonts w:ascii="Times New Roman" w:hAnsi="Times New Roman"/>
                <w:sz w:val="24"/>
                <w:szCs w:val="24"/>
                <w:lang w:val="ru-RU"/>
              </w:rPr>
              <w:t>2021 – 151516,00  тыс.руб.;</w:t>
            </w:r>
          </w:p>
          <w:p>
            <w:pPr>
              <w:pStyle w:val="TableParagraph"/>
              <w:spacing w:before="10" w:after="200"/>
              <w:ind w:right="215" w:hanging="0"/>
              <w:rPr>
                <w:lang w:val="ru-RU"/>
              </w:rPr>
            </w:pPr>
            <w:r>
              <w:rPr>
                <w:rFonts w:ascii="Times New Roman" w:hAnsi="Times New Roman"/>
                <w:sz w:val="24"/>
                <w:szCs w:val="24"/>
                <w:lang w:val="ru-RU"/>
              </w:rPr>
              <w:t>2022 – 142626,00  тыс.руб.;</w:t>
            </w:r>
          </w:p>
          <w:p>
            <w:pPr>
              <w:pStyle w:val="TableParagraph"/>
              <w:spacing w:before="10" w:after="200"/>
              <w:ind w:right="215" w:hanging="0"/>
              <w:rPr>
                <w:lang w:val="ru-RU"/>
              </w:rPr>
            </w:pPr>
            <w:r>
              <w:rPr>
                <w:rFonts w:ascii="Times New Roman" w:hAnsi="Times New Roman"/>
                <w:sz w:val="24"/>
                <w:szCs w:val="24"/>
                <w:lang w:val="ru-RU"/>
              </w:rPr>
              <w:t>2023 – 0,00 тыс.руб</w:t>
            </w:r>
          </w:p>
        </w:tc>
      </w:tr>
    </w:tbl>
    <w:p>
      <w:pPr>
        <w:pStyle w:val="Normal"/>
        <w:rPr>
          <w:rFonts w:ascii="Times New Roman" w:hAnsi="Times New Roman"/>
          <w:sz w:val="24"/>
          <w:szCs w:val="24"/>
        </w:rPr>
      </w:pPr>
      <w:r>
        <w:rPr>
          <w:rFonts w:ascii="Times New Roman" w:hAnsi="Times New Roman"/>
          <w:sz w:val="24"/>
          <w:szCs w:val="24"/>
        </w:rPr>
      </w:r>
      <w:bookmarkStart w:id="0" w:name="_GoBack"/>
      <w:bookmarkStart w:id="1" w:name="_GoBack"/>
      <w:bookmarkEnd w:id="1"/>
    </w:p>
    <w:p>
      <w:pPr>
        <w:pStyle w:val="Normal"/>
        <w:widowControl/>
        <w:suppressAutoHyphens w:val="true"/>
        <w:bidi w:val="0"/>
        <w:spacing w:lineRule="auto" w:line="276" w:before="0" w:after="200"/>
        <w:jc w:val="left"/>
        <w:rPr>
          <w:rFonts w:ascii="Times New Roman" w:hAnsi="Times New Roman"/>
          <w:sz w:val="24"/>
          <w:szCs w:val="24"/>
        </w:rPr>
      </w:pPr>
      <w:r>
        <w:rPr>
          <w:rFonts w:ascii="Times New Roman" w:hAnsi="Times New Roman"/>
          <w:sz w:val="24"/>
          <w:szCs w:val="24"/>
        </w:rPr>
      </w:r>
    </w:p>
    <w:sectPr>
      <w:type w:val="nextPage"/>
      <w:pgSz w:w="11906" w:h="16838"/>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imes New Roman">
    <w:charset w:val="cc"/>
    <w:family w:val="roman"/>
    <w:pitch w:val="variable"/>
  </w:font>
  <w:font w:name="Verdana">
    <w:charset w:val="cc"/>
    <w:family w:val="roman"/>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327b8"/>
    <w:pPr>
      <w:widowControl/>
      <w:suppressAutoHyphens w:val="true"/>
      <w:bidi w:val="0"/>
      <w:spacing w:lineRule="auto" w:line="276" w:before="0" w:after="200"/>
      <w:jc w:val="left"/>
    </w:pPr>
    <w:rPr>
      <w:rFonts w:ascii="Calibri" w:hAnsi="Calibri" w:eastAsia="Calibri" w:cs="Calibri"/>
      <w:color w:val="00000A"/>
      <w:kern w:val="0"/>
      <w:sz w:val="22"/>
      <w:szCs w:val="22"/>
      <w:lang w:val="ru-RU" w:eastAsia="zh-CN"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Style15"/>
    <w:qFormat/>
    <w:pPr>
      <w:keepNext w:val="true"/>
      <w:spacing w:before="240" w:after="120"/>
    </w:pPr>
    <w:rPr>
      <w:rFonts w:ascii="Liberation Sans" w:hAnsi="Liberation Sans" w:eastAsia="Microsoft YaHei" w:cs="Mang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Mangal"/>
    </w:rPr>
  </w:style>
  <w:style w:type="paragraph" w:styleId="Style17">
    <w:name w:val="Caption"/>
    <w:basedOn w:val="Normal"/>
    <w:qFormat/>
    <w:pPr>
      <w:suppressLineNumbers/>
      <w:spacing w:before="120" w:after="120"/>
    </w:pPr>
    <w:rPr>
      <w:rFonts w:cs="Mangal"/>
      <w:i/>
      <w:iCs/>
      <w:sz w:val="24"/>
      <w:szCs w:val="24"/>
    </w:rPr>
  </w:style>
  <w:style w:type="paragraph" w:styleId="Style18">
    <w:name w:val="Указатель"/>
    <w:basedOn w:val="Normal"/>
    <w:qFormat/>
    <w:pPr>
      <w:suppressLineNumbers/>
    </w:pPr>
    <w:rPr>
      <w:rFonts w:cs="Mangal"/>
    </w:rPr>
  </w:style>
  <w:style w:type="paragraph" w:styleId="TableParagraph" w:customStyle="1">
    <w:name w:val="Table Paragraph"/>
    <w:basedOn w:val="Normal"/>
    <w:qFormat/>
    <w:rsid w:val="00a327b8"/>
    <w:pPr>
      <w:widowControl w:val="false"/>
      <w:spacing w:lineRule="auto" w:line="240" w:before="0" w:after="0"/>
    </w:pPr>
    <w:rPr>
      <w:rFonts w:ascii="Times New Roman" w:hAnsi="Times New Roman" w:eastAsia="Times New Roman" w:cs="Times New Roman"/>
      <w:lang w:val="en-US"/>
    </w:rPr>
  </w:style>
  <w:style w:type="paragraph" w:styleId="Style19" w:customStyle="1">
    <w:name w:val=" Знак Знак"/>
    <w:basedOn w:val="Normal"/>
    <w:qFormat/>
    <w:rsid w:val="00a327b8"/>
    <w:pPr>
      <w:suppressAutoHyphens w:val="false"/>
      <w:spacing w:lineRule="exact" w:line="240" w:before="0" w:after="160"/>
    </w:pPr>
    <w:rPr>
      <w:rFonts w:ascii="Verdana" w:hAnsi="Verdana" w:eastAsia="Times New Roman" w:cs="Times New Roman"/>
      <w:color w:val="00000A"/>
      <w:sz w:val="20"/>
      <w:szCs w:val="20"/>
      <w:lang w:val="en-US" w:eastAsia="en-US"/>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ontrol" Target="activeX/activeX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activeX/_rels/activeX1.xml.rels><?xml version="1.0" encoding="UTF-8"?>
<Relationships xmlns="http://schemas.openxmlformats.org/package/2006/relationships"><Relationship Id="rId1" Type="http://schemas.microsoft.com/office/2006/relationships/activeXControlBinary" Target="activeX1.bin"/>
</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Application>LibreOffice/6.0.1.1$Windows_x86 LibreOffice_project/60bfb1526849283ce2491346ed2aa51c465abfe6</Application>
  <Pages>3</Pages>
  <Words>544</Words>
  <Characters>4159</Characters>
  <CharactersWithSpaces>4995</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2020-01-07T15:40:00Z</dcterms:created>
  <dc:creator>Ирина</dc:creator>
  <dc:description/>
  <dc:language>ru-RU</dc:language>
  <cp:lastModifiedBy/>
  <cp:lastPrinted>2020-01-09T15:14:49Z</cp:lastPrinted>
  <dcterms:modified xsi:type="dcterms:W3CDTF">2020-01-09T15:16:51Z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