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b/>
          <w:bCs/>
          <w:sz w:val="24"/>
          <w:szCs w:val="24"/>
          <w:lang w:val="ru-RU"/>
        </w:rPr>
        <w:t>Таблица 1</w:t>
      </w:r>
    </w:p>
    <w:p>
      <w:pPr>
        <w:pStyle w:val="Normal"/>
        <w:bidi w:val="0"/>
        <w:spacing w:lineRule="atLeast" w:line="2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Сведения                                                                                                           </w:t>
      </w:r>
    </w:p>
    <w:p>
      <w:pPr>
        <w:pStyle w:val="Normal"/>
        <w:bidi w:val="0"/>
        <w:spacing w:lineRule="atLeast" w:line="20"/>
        <w:jc w:val="right"/>
        <w:rPr/>
      </w:pPr>
      <w:r>
        <w:rPr>
          <w:b/>
          <w:bCs/>
          <w:sz w:val="24"/>
          <w:szCs w:val="24"/>
        </w:rPr>
        <w:t>о показателях (индикаторах) муниципальной программы «</w:t>
      </w:r>
      <w:r>
        <w:rPr>
          <w:b/>
          <w:bCs/>
          <w:color w:val="26282F"/>
          <w:sz w:val="24"/>
          <w:szCs w:val="24"/>
        </w:rPr>
        <w:t>Эффективное управление в муниципальном образовании “Лахденпохский муниципальный район</w:t>
      </w:r>
      <w:r>
        <w:rPr>
          <w:b/>
          <w:bCs/>
          <w:sz w:val="24"/>
          <w:szCs w:val="24"/>
        </w:rPr>
        <w:t xml:space="preserve">» </w:t>
      </w:r>
      <w:r>
        <w:rPr>
          <w:b/>
          <w:bCs/>
          <w:color w:val="26282F"/>
          <w:sz w:val="24"/>
          <w:szCs w:val="24"/>
        </w:rPr>
        <w:t>на 20</w:t>
      </w:r>
      <w:r>
        <w:rPr>
          <w:b/>
          <w:bCs/>
          <w:color w:val="26282F"/>
          <w:sz w:val="24"/>
          <w:szCs w:val="24"/>
          <w:lang w:val="ru-RU"/>
        </w:rPr>
        <w:t>21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  <w:lang w:val="ru-RU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  <w:r>
        <w:rPr>
          <w:b/>
          <w:bCs/>
          <w:sz w:val="24"/>
          <w:szCs w:val="24"/>
        </w:rPr>
        <w:t>, подпрограмм муниципальной программы и их значениях</w:t>
      </w:r>
    </w:p>
    <w:p>
      <w:pPr>
        <w:pStyle w:val="Normal"/>
        <w:bidi w:val="0"/>
        <w:spacing w:lineRule="atLeast" w:line="20"/>
        <w:ind w:left="0" w:right="0" w:firstLine="540"/>
        <w:jc w:val="righ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-14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50"/>
        <w:gridCol w:w="2239"/>
        <w:gridCol w:w="2471"/>
        <w:gridCol w:w="1443"/>
        <w:gridCol w:w="815"/>
        <w:gridCol w:w="38"/>
        <w:gridCol w:w="892"/>
        <w:gridCol w:w="1096"/>
        <w:gridCol w:w="1011"/>
        <w:gridCol w:w="1011"/>
        <w:gridCol w:w="851"/>
        <w:gridCol w:w="857"/>
        <w:gridCol w:w="1396"/>
      </w:tblGrid>
      <w:tr>
        <w:trPr>
          <w:tblHeader w:val="true"/>
          <w:trHeight w:val="315" w:hRule="atLeast"/>
          <w:cantSplit w:val="true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 xml:space="preserve">№ </w:t>
            </w:r>
            <w:r>
              <w:rPr/>
              <w:br/>
              <w:t>п/п</w:t>
            </w:r>
            <w:r>
              <mc:AlternateContent>
                <mc:Choice Requires="wps">
                  <w:drawing>
                    <wp:anchor behindDoc="0" distT="0" distB="0" distL="0" distR="0" simplePos="0" locked="0" layoutInCell="0" allowOverlap="1" relativeHeight="10">
                      <wp:simplePos x="0" y="0"/>
                      <wp:positionH relativeFrom="margin">
                        <wp:posOffset>-2004695</wp:posOffset>
                      </wp:positionH>
                      <wp:positionV relativeFrom="paragraph">
                        <wp:posOffset>296545</wp:posOffset>
                      </wp:positionV>
                      <wp:extent cx="14605" cy="1481455"/>
                      <wp:effectExtent l="0" t="0" r="0" b="0"/>
                      <wp:wrapSquare wrapText="largest"/>
                      <wp:docPr id="1" name="Врезк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" cy="1481455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Normal"/>
                                    <w:pBdr/>
                                    <w:bidi w:val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fillcolor="#FFFFFF" style="position:absolute;rotation:0;width:1.15pt;height:116.65pt;mso-wrap-distance-left:0pt;mso-wrap-distance-right:0pt;mso-wrap-distance-top:0pt;mso-wrap-distance-bottom:0pt;margin-top:23.35pt;mso-position-vertical-relative:text;margin-left:-157.85pt;mso-position-horizontal-relative:margin">
                      <v:fill opacity="0f"/>
                      <v:textbox inset="0in,0in,0in,0in">
                        <w:txbxContent>
                          <w:p>
                            <w:pPr>
                              <w:pStyle w:val="Normal"/>
                              <w:pBdr/>
                              <w:bidi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  <w10:wrap type="square" side="largest"/>
                    </v:rect>
                  </w:pict>
                </mc:Fallback>
              </mc:AlternateContent>
            </w:r>
          </w:p>
        </w:tc>
        <w:tc>
          <w:tcPr>
            <w:tcW w:w="22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Наименование цели (задачи)</w:t>
            </w:r>
          </w:p>
        </w:tc>
        <w:tc>
          <w:tcPr>
            <w:tcW w:w="24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Показатель (индикатор) (наименование)</w:t>
            </w: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Ед. измерения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Значения показателей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Отношение значения показателя последнего года реализации программы к отчетному</w:t>
            </w:r>
          </w:p>
        </w:tc>
      </w:tr>
      <w:tr>
        <w:trPr>
          <w:tblHeader w:val="true"/>
          <w:trHeight w:val="1592" w:hRule="atLeast"/>
          <w:cantSplit w:val="true"/>
        </w:trPr>
        <w:tc>
          <w:tcPr>
            <w:tcW w:w="45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239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471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3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201</w:t>
            </w:r>
            <w:r>
              <w:rPr>
                <w:lang w:val="ru-RU"/>
              </w:rPr>
              <w:t>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202</w:t>
            </w:r>
            <w:r>
              <w:rPr>
                <w:lang w:val="ru-RU"/>
              </w:rPr>
              <w:t>5</w:t>
            </w:r>
          </w:p>
        </w:tc>
        <w:tc>
          <w:tcPr>
            <w:tcW w:w="13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3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8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12</w:t>
            </w:r>
          </w:p>
        </w:tc>
      </w:tr>
      <w:tr>
        <w:trPr>
          <w:trHeight w:val="240" w:hRule="atLeast"/>
          <w:cantSplit w:val="true"/>
        </w:trPr>
        <w:tc>
          <w:tcPr>
            <w:tcW w:w="1146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>
                <w:b/>
                <w:bCs/>
              </w:rPr>
              <w:t>Программа «Эффективное управление в муниципальном образовании Лахденпохский муниципальный район» на 20</w:t>
            </w:r>
            <w:r>
              <w:rPr>
                <w:b/>
                <w:bCs/>
                <w:lang w:val="ru-RU"/>
              </w:rPr>
              <w:t>21</w:t>
            </w:r>
            <w:r>
              <w:rPr>
                <w:b/>
                <w:bCs/>
              </w:rPr>
              <w:t>-202</w:t>
            </w:r>
            <w:r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 xml:space="preserve"> годы.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75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 xml:space="preserve">1 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>Цель:</w:t>
            </w:r>
            <w:r>
              <w:rPr/>
              <w:t xml:space="preserve"> Эффективная деятельность органов местного самоуправления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Целевой индикатор: определены в подпрограммах программы.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/>
            </w:pPr>
            <w:r>
              <w:rPr>
                <w:b/>
                <w:bCs/>
              </w:rPr>
              <w:t>Задача 1</w:t>
            </w:r>
            <w:r>
              <w:rPr/>
              <w:t xml:space="preserve"> </w:t>
            </w:r>
            <w:r>
              <w:rPr>
                <w:lang w:val="ru-RU"/>
              </w:rPr>
              <w:t>обеспечение к</w:t>
            </w:r>
            <w:r>
              <w:rPr/>
              <w:t>омплексн</w:t>
            </w:r>
            <w:r>
              <w:rPr>
                <w:lang w:val="ru-RU"/>
              </w:rPr>
              <w:t>ого</w:t>
            </w:r>
            <w:r>
              <w:rPr/>
              <w:t xml:space="preserve"> развити</w:t>
            </w:r>
            <w:r>
              <w:rPr>
                <w:lang w:val="ru-RU"/>
              </w:rPr>
              <w:t>я</w:t>
            </w:r>
            <w:r>
              <w:rPr/>
              <w:t xml:space="preserve"> муниципальной службы в органах местного самоуправления </w:t>
            </w:r>
            <w:r>
              <w:rPr>
                <w:color w:val="282828"/>
              </w:rPr>
              <w:t>Лахденпохского муниципального района</w:t>
            </w:r>
            <w:r>
              <w:rPr/>
              <w:t>;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Показатель результата 1 </w:t>
            </w:r>
            <w:r>
              <w:rPr/>
              <w:t xml:space="preserve">повышение квалификации </w:t>
            </w:r>
            <w:r>
              <w:rPr>
                <w:lang w:val="ru-RU"/>
              </w:rPr>
              <w:t xml:space="preserve">муниципальных служащих </w:t>
            </w:r>
            <w:r>
              <w:rPr/>
              <w:t>за счет средств местного бюджета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Количество муниципальных служащих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_</w:t>
            </w:r>
            <w:r>
              <w:rPr>
                <w:lang w:val="ru-RU"/>
              </w:rPr>
              <w:t xml:space="preserve">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8 муниципальных служащих пройдут повышение квалификации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1.2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/>
            </w:pPr>
            <w:r>
              <w:rPr>
                <w:b/>
                <w:bCs/>
              </w:rPr>
              <w:t>Показатель результата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/>
              <w:t>прохождение диспансеризации муниципальных служащих от числа муниципальных служащих, подлежащих диспансеризации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Процент муниципальных служащих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>
              <w:rPr/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color w:val="FF0000"/>
                <w:lang w:val="ru-RU"/>
              </w:rPr>
              <w:t>21</w:t>
            </w:r>
            <w:r>
              <w:rPr>
                <w:color w:val="FF0000"/>
              </w:rPr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</w:t>
            </w:r>
            <w:r>
              <w:rPr/>
              <w:t>6</w:t>
            </w:r>
            <w:r>
              <w:rPr/>
              <w:t>%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__</w:t>
            </w:r>
            <w:r>
              <w:rPr/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100% муниципальных служащих будут охвачены диспансеризацией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3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lang w:val="ru-RU"/>
              </w:rPr>
            </w:pPr>
            <w:r>
              <w:rPr>
                <w:lang w:val="ru-RU"/>
              </w:rPr>
              <w:t>компенсация проезда муниципальных служащих к месту отдыха и обратно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Процент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4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компенсация командировочных расходов муниципальным служащим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Процент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1.5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5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Компенсация представительских расходов (расходов по проведению мероприятий)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100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945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</w:t>
            </w:r>
            <w:r>
              <w:rPr/>
              <w:t>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/>
            </w:pPr>
            <w:r>
              <w:rPr>
                <w:b/>
                <w:bCs/>
              </w:rPr>
              <w:t>Задача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Обеспечение качественного и своевременного предоставления муниципальных услуг;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/>
            </w:pPr>
            <w:r>
              <w:rPr>
                <w:b/>
                <w:bCs/>
              </w:rPr>
              <w:t>Показатель результата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6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разработка административных регламентов муниципальных услуг</w:t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 xml:space="preserve">% </w:t>
            </w:r>
            <w:r>
              <w:rPr>
                <w:lang w:val="ru-RU"/>
              </w:rPr>
              <w:t>разработанных регламентов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99,8 %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99,9 %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100,1 </w:t>
            </w:r>
            <w:r>
              <w:rPr>
                <w:sz w:val="24"/>
                <w:szCs w:val="24"/>
              </w:rPr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  <w:tr>
        <w:trPr>
          <w:trHeight w:val="3016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1.7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/>
            </w:pPr>
            <w:r>
              <w:rPr/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Показатель результата </w:t>
            </w:r>
            <w:r>
              <w:rPr>
                <w:b/>
                <w:bCs/>
                <w:lang w:val="ru-RU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Отсутствие жалоб на предоставление муниципальных услуг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Количество жалоб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1146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 xml:space="preserve">                            </w:t>
            </w:r>
            <w:r>
              <w:rPr>
                <w:b/>
                <w:bCs/>
              </w:rPr>
              <w:t>Подпрограмма «Развитие муниципальной службы»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41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Цель 1  </w:t>
            </w:r>
            <w:r>
              <w:rPr/>
              <w:t>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jc w:val="both"/>
              <w:rPr/>
            </w:pPr>
            <w:r>
              <w:rPr>
                <w:b/>
                <w:bCs/>
              </w:rPr>
              <w:t xml:space="preserve">Целевой индикатор 1: </w:t>
            </w:r>
            <w:r>
              <w:rPr/>
              <w:t xml:space="preserve"> </w:t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Удовлетворенность населения деятельностью органов местного самоуправления Лахденпохского муниципального района.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      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 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18,2%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34%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38%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42%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45%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47%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50%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275%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 xml:space="preserve">1.2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>Задача 1</w:t>
            </w:r>
            <w:r>
              <w:rPr/>
              <w:t xml:space="preserve"> </w:t>
            </w:r>
            <w:r>
              <w:rPr>
                <w:lang w:val="ru-RU"/>
              </w:rPr>
              <w:t xml:space="preserve">обеспечение </w:t>
            </w:r>
            <w:r>
              <w:rPr/>
              <w:t>развити</w:t>
            </w:r>
            <w:r>
              <w:rPr>
                <w:lang w:val="ru-RU"/>
              </w:rPr>
              <w:t>я</w:t>
            </w:r>
            <w:r>
              <w:rPr/>
              <w:t xml:space="preserve">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Показатель результата 1:</w:t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повышение квалификации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19</w:t>
            </w:r>
            <w:r>
              <w:rPr>
                <w:lang w:val="ru-RU"/>
              </w:rPr>
              <w:t xml:space="preserve"> </w:t>
            </w:r>
            <w:r>
              <w:rPr/>
              <w:t>муниципальных служащих;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 xml:space="preserve">Количество муниципальных служащих        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__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8 муниципальных служащих пройдут повышение квалификации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</w:t>
            </w:r>
            <w:r>
              <w:rPr/>
              <w:t>3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  <w:lang w:val="ru-RU"/>
              </w:rPr>
              <w:t xml:space="preserve">Задача </w:t>
            </w:r>
            <w:r>
              <w:rPr>
                <w:b/>
                <w:bCs/>
                <w:lang w:val="ru-RU"/>
              </w:rPr>
              <w:t xml:space="preserve">2 </w:t>
            </w:r>
            <w:r>
              <w:rPr>
                <w:b w:val="false"/>
                <w:bCs w:val="false"/>
                <w:lang w:val="ru-RU"/>
              </w:rPr>
              <w:t>о</w:t>
            </w:r>
            <w:r>
              <w:rPr>
                <w:b w:val="false"/>
                <w:bCs w:val="false"/>
                <w:shd w:fill="auto" w:val="clear"/>
                <w:lang w:val="ru-RU"/>
              </w:rPr>
              <w:t xml:space="preserve">беспечение прохождения </w:t>
            </w:r>
            <w:r>
              <w:rPr>
                <w:shd w:fill="auto" w:val="clear"/>
                <w:lang w:val="ru-RU"/>
              </w:rPr>
              <w:t>медицинск</w:t>
            </w:r>
            <w:r>
              <w:rPr>
                <w:shd w:fill="auto" w:val="clear"/>
                <w:lang w:val="ru-RU"/>
              </w:rPr>
              <w:t xml:space="preserve">ой </w:t>
            </w:r>
            <w:r>
              <w:rPr>
                <w:shd w:fill="auto" w:val="clear"/>
                <w:lang w:val="ru-RU"/>
              </w:rPr>
              <w:t>диспансеризаци</w:t>
            </w:r>
            <w:r>
              <w:rPr>
                <w:shd w:fill="auto" w:val="clear"/>
                <w:lang w:val="ru-RU"/>
              </w:rPr>
              <w:t xml:space="preserve">и </w:t>
            </w:r>
            <w:r>
              <w:rPr>
                <w:shd w:fill="auto" w:val="clear"/>
                <w:lang w:val="ru-RU"/>
              </w:rPr>
              <w:t>муниципальны</w:t>
            </w:r>
            <w:r>
              <w:rPr>
                <w:lang w:val="ru-RU"/>
              </w:rPr>
              <w:t>ми</w:t>
            </w:r>
            <w:r>
              <w:rPr/>
              <w:t xml:space="preserve"> служащи</w:t>
            </w:r>
            <w:r>
              <w:rPr>
                <w:lang w:val="ru-RU"/>
              </w:rPr>
              <w:t>ми</w:t>
            </w:r>
            <w:r>
              <w:rPr/>
              <w:t xml:space="preserve">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Показатель результата </w:t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: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exact" w:line="274"/>
              <w:ind w:left="0"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 xml:space="preserve">Доля муниципальных служащих      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>
              <w:rPr/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</w:rPr>
            </w:pPr>
            <w:r>
              <w:rPr>
                <w:color w:val="000000"/>
                <w:lang w:val="ru-RU"/>
              </w:rPr>
              <w:t>21</w:t>
            </w:r>
            <w:r>
              <w:rPr>
                <w:color w:val="000000"/>
              </w:rPr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__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100 % муниципальных служащих пройдут медицинскую  диспансеризацию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</w:t>
            </w:r>
            <w:r>
              <w:rPr>
                <w:lang w:val="ru-RU"/>
              </w:rPr>
              <w:t>4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Задача 3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обеспечение </w:t>
            </w:r>
            <w:r>
              <w:rPr>
                <w:lang w:val="ru-RU"/>
              </w:rPr>
              <w:t>комплексно</w:t>
            </w:r>
            <w:r>
              <w:rPr>
                <w:lang w:val="ru-RU"/>
              </w:rPr>
              <w:t>го</w:t>
            </w:r>
            <w:r>
              <w:rPr>
                <w:lang w:val="ru-RU"/>
              </w:rPr>
              <w:t xml:space="preserve"> планировани</w:t>
            </w:r>
            <w:r>
              <w:rPr>
                <w:lang w:val="ru-RU"/>
              </w:rPr>
              <w:t>я</w:t>
            </w:r>
            <w:r>
              <w:rPr>
                <w:lang w:val="ru-RU"/>
              </w:rPr>
              <w:t xml:space="preserve"> деятельности Администрации Лахденпохского муниципального района</w:t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результата 3: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exact" w:line="274"/>
              <w:ind w:left="0"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служащих получивших компенсацию проезда к месту отдыха и обратно - 100 % от числа обратившихся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Доля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100 % 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</w:rPr>
              <w:t xml:space="preserve"> 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</w:t>
            </w:r>
            <w:r>
              <w:rPr>
                <w:lang w:val="ru-RU"/>
              </w:rPr>
              <w:t>5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результата 4:</w:t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sz w:val="24"/>
                <w:szCs w:val="24"/>
                <w:lang w:val="ru-RU"/>
              </w:rPr>
              <w:t>доля муниципальных служащих получивших компенсацию командировочных расходов — 100%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Доля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100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</w:t>
            </w:r>
            <w:r>
              <w:rPr>
                <w:lang w:val="ru-RU"/>
              </w:rPr>
              <w:t>6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5: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exact" w:line="274"/>
              <w:ind w:left="0" w:right="19" w:hanging="0"/>
              <w:jc w:val="both"/>
              <w:rPr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sz w:val="24"/>
                <w:szCs w:val="24"/>
                <w:lang w:val="ru-RU"/>
              </w:rPr>
              <w:t>количество проведенных торжественных мероприятий (в том числе встречи делегаций) - в соответствии с условиями программы (10 мероприятий в год)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Количество проведенных торжественных мероприятий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111,11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648" w:hRule="atLeast"/>
          <w:cantSplit w:val="true"/>
        </w:trPr>
        <w:tc>
          <w:tcPr>
            <w:tcW w:w="1146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09"/>
                <w:tab w:val="left" w:pos="908" w:leader="none"/>
              </w:tabs>
              <w:bidi w:val="0"/>
              <w:spacing w:lineRule="exact" w:line="274" w:before="278" w:after="0"/>
              <w:ind w:left="6" w:right="17" w:firstLine="56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>Цель 1: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>качественное</w:t>
            </w:r>
            <w:r>
              <w:rPr>
                <w:b/>
                <w:bCs/>
              </w:rPr>
              <w:t xml:space="preserve"> </w:t>
            </w:r>
            <w:r>
              <w:rPr/>
              <w:t>предоставление муниципальной услуги в установленный  законом срок.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Целевой индикатор 1: </w:t>
            </w:r>
            <w:r>
              <w:rPr/>
              <w:t>соблюдение сроков предоставления муниципальной услуги;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Целевой индикатор 2:</w:t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Доля  заявителей, удовлетворенных компетентностью  обслуживания муниципальных служащих;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  <w:t xml:space="preserve">        </w:t>
            </w:r>
            <w:r>
              <w:rPr>
                <w:lang w:val="ru-RU"/>
              </w:rPr>
              <w:t xml:space="preserve">100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100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Задача 1: </w:t>
            </w:r>
            <w:r>
              <w:rPr>
                <w:color w:val="000000"/>
                <w:shd w:fill="FFFFFF" w:val="clear"/>
              </w:rPr>
              <w:t>Обеспечение доступности информации  о порядке и ходе предоставления муниципальных услуг.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Показатель результата 6: 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>Доля разработанных административных регламентов предоставления муниципальных услуг (с размещением на сайте)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99,8</w:t>
            </w:r>
            <w:r>
              <w:rPr/>
              <w:t>%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99,9</w:t>
            </w:r>
            <w:r>
              <w:rPr/>
              <w:t>%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100</w:t>
            </w:r>
            <w:r>
              <w:rPr/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10</w:t>
            </w:r>
            <w:r>
              <w:rPr/>
              <w:t>0%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100, 1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</w:t>
            </w:r>
            <w:r>
              <w:rPr/>
              <w:t>.2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Задача 2: </w:t>
            </w:r>
            <w:r>
              <w:rPr/>
              <w:t>качественное</w:t>
            </w:r>
            <w:r>
              <w:rPr>
                <w:b/>
                <w:bCs/>
              </w:rPr>
              <w:t xml:space="preserve"> </w:t>
            </w:r>
            <w:r>
              <w:rPr/>
              <w:t>предоставление муниципальной услуги в установленный  законом срок.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57" w:hanging="0"/>
              <w:jc w:val="both"/>
              <w:rPr/>
            </w:pPr>
            <w:r>
              <w:rPr>
                <w:b/>
                <w:bCs/>
              </w:rPr>
              <w:t>Показатель результата 7: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 xml:space="preserve">количество жалоб на предоставление муниципальных услуг муниципальными служащими Администрации </w:t>
            </w:r>
            <w:r>
              <w:rPr>
                <w:lang w:val="ru-RU"/>
              </w:rPr>
              <w:t>Лахденпохского муниципального района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Количество жалоб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>0</w:t>
            </w:r>
            <w:r>
              <w:rPr>
                <w:lang w:val="ru-RU"/>
              </w:rPr>
              <w:t xml:space="preserve">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12574" w:leader="none"/>
          <w:tab w:val="left" w:pos="13552" w:leader="none"/>
        </w:tabs>
        <w:bidi w:val="0"/>
        <w:spacing w:lineRule="atLeast" w:line="20"/>
        <w:ind w:left="2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6838" w:h="11906"/>
      <w:pgMar w:left="1134" w:right="1134" w:header="0" w:top="180" w:footer="0" w:bottom="426" w:gutter="0"/>
      <w:pgNumType w:fmt="decimal"/>
      <w:formProt w:val="false"/>
      <w:textDirection w:val="lrTb"/>
      <w:docGrid w:type="default" w:linePitch="299" w:charSpace="1208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1069</TotalTime>
  <Application>LibreOffice/7.0.0.3$Windows_x86 LibreOffice_project/8061b3e9204bef6b321a21033174034a5e2ea88e</Application>
  <Pages>9</Pages>
  <Words>715</Words>
  <Characters>4723</Characters>
  <CharactersWithSpaces>5400</CharactersWithSpaces>
  <Paragraphs>247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2021-08-24T12:50:20Z</dcterms:modified>
  <cp:revision>28</cp:revision>
  <dc:subject/>
  <dc:title/>
</cp:coreProperties>
</file>