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E289526" w:rsidR="0076610B" w:rsidRPr="00830C6F" w:rsidRDefault="00E376A5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B0ED9A0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6973B7">
              <w:rPr>
                <w:sz w:val="28"/>
                <w:szCs w:val="28"/>
              </w:rPr>
              <w:t>07.07.2020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973B7">
              <w:rPr>
                <w:sz w:val="28"/>
                <w:szCs w:val="28"/>
              </w:rPr>
              <w:t>452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6973B7">
              <w:rPr>
                <w:sz w:val="28"/>
                <w:szCs w:val="28"/>
              </w:rPr>
              <w:t xml:space="preserve"> 9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6973B7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6973B7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6973B7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558AD64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6973B7">
        <w:rPr>
          <w:sz w:val="28"/>
          <w:szCs w:val="28"/>
        </w:rPr>
        <w:t xml:space="preserve">от 07.07.2020 № 452 «О признании </w:t>
      </w:r>
      <w:r w:rsidR="006973B7">
        <w:rPr>
          <w:sz w:val="28"/>
          <w:szCs w:val="28"/>
        </w:rPr>
        <w:lastRenderedPageBreak/>
        <w:t>многоквартирного дома № 9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026BC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973B7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376A5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845EC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2026-10-05T10:22:00Z</dcterms:modified>
  <dc:language>ru-RU</dc:language>
</cp:coreProperties>
</file>