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bookmarkStart w:id="0" w:name="_GoBack"/>
      <w:bookmarkEnd w:id="0"/>
      <w:r>
        <w:rPr/>
        <w:t>ПРАВИТЕЛЬСТВО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РАСПОРЯЖЕНИЕ</w:t>
      </w:r>
    </w:p>
    <w:p>
      <w:pPr>
        <w:pStyle w:val="ConsPlusTitle"/>
        <w:jc w:val="center"/>
        <w:rPr/>
      </w:pPr>
      <w:r>
        <w:rPr/>
        <w:t>от 5 сентября 2015 г. N 1738-р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Утвердить прилагаемый стандарт развития конкуренции в субъектах Российской Федерации (далее - стандарт).</w:t>
      </w:r>
    </w:p>
    <w:p>
      <w:pPr>
        <w:pStyle w:val="ConsPlusNormal"/>
        <w:ind w:firstLine="540"/>
        <w:jc w:val="both"/>
        <w:rPr/>
      </w:pPr>
      <w:r>
        <w:rPr/>
        <w:t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стандарт.</w:t>
      </w:r>
    </w:p>
    <w:p>
      <w:pPr>
        <w:pStyle w:val="ConsPlusNormal"/>
        <w:ind w:firstLine="540"/>
        <w:jc w:val="both"/>
        <w:rPr/>
      </w:pPr>
      <w:r>
        <w:rPr/>
        <w:t>3. Рекомендовать:</w:t>
      </w:r>
    </w:p>
    <w:p>
      <w:pPr>
        <w:pStyle w:val="ConsPlusNormal"/>
        <w:ind w:firstLine="540"/>
        <w:jc w:val="both"/>
        <w:rPr/>
      </w:pPr>
      <w:r>
        <w:rPr/>
        <w:t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стандарта;</w:t>
      </w:r>
    </w:p>
    <w:p>
      <w:pPr>
        <w:pStyle w:val="ConsPlusNormal"/>
        <w:ind w:firstLine="540"/>
        <w:jc w:val="both"/>
        <w:rPr/>
      </w:pPr>
      <w:r>
        <w:rPr/>
        <w:t>субъектам естественных монополий руководствоваться положениями стандарта в рамках раскрытия информации о своей деятельности.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Д.МЕДВЕДЕВ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распоряжением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5 сентября 2015 г. N 1738-р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1" w:name="P25"/>
      <w:bookmarkEnd w:id="1"/>
      <w:r>
        <w:rPr/>
        <w:t>СТАНДАРТ</w:t>
      </w:r>
    </w:p>
    <w:p>
      <w:pPr>
        <w:pStyle w:val="ConsPlusTitle"/>
        <w:jc w:val="center"/>
        <w:rPr/>
      </w:pPr>
      <w:r>
        <w:rPr/>
        <w:t>РАЗВИТИЯ КОНКУРЕНЦИИ В СУБЪЕКТАХ РОССИЙСКОЙ ФЕДЕРАЦИИ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Стандарт развития конкуренции в субъектах Российской Федерации (далее соответственно - конкуренция, стандарт) разработан во исполнение пункта 2 раздела III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>
      <w:pPr>
        <w:pStyle w:val="ConsPlusNormal"/>
        <w:ind w:firstLine="540"/>
        <w:jc w:val="both"/>
        <w:rPr/>
      </w:pPr>
      <w:r>
        <w:rPr/>
        <w:t>2. Стандарт разработан в следующих целях:</w:t>
      </w:r>
    </w:p>
    <w:p>
      <w:pPr>
        <w:pStyle w:val="ConsPlusNormal"/>
        <w:ind w:firstLine="540"/>
        <w:jc w:val="both"/>
        <w:rPr/>
      </w:pPr>
      <w:r>
        <w:rPr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>
      <w:pPr>
        <w:pStyle w:val="ConsPlusNormal"/>
        <w:ind w:firstLine="540"/>
        <w:jc w:val="both"/>
        <w:rPr/>
      </w:pPr>
      <w:r>
        <w:rPr/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>
      <w:pPr>
        <w:pStyle w:val="ConsPlusNormal"/>
        <w:ind w:firstLine="540"/>
        <w:jc w:val="both"/>
        <w:rPr/>
      </w:pPr>
      <w:r>
        <w:rPr/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>
      <w:pPr>
        <w:pStyle w:val="ConsPlusNormal"/>
        <w:ind w:firstLine="540"/>
        <w:jc w:val="both"/>
        <w:rPr/>
      </w:pPr>
      <w:r>
        <w:rPr/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>
      <w:pPr>
        <w:pStyle w:val="ConsPlusNormal"/>
        <w:ind w:firstLine="540"/>
        <w:jc w:val="both"/>
        <w:rPr/>
      </w:pPr>
      <w:r>
        <w:rPr/>
        <w:t>3. Принципами внедрения стандарта являются:</w:t>
      </w:r>
    </w:p>
    <w:p>
      <w:pPr>
        <w:pStyle w:val="ConsPlusNormal"/>
        <w:ind w:firstLine="540"/>
        <w:jc w:val="both"/>
        <w:rPr/>
      </w:pPr>
      <w:r>
        <w:rPr/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>
      <w:pPr>
        <w:pStyle w:val="ConsPlusNormal"/>
        <w:ind w:firstLine="540"/>
        <w:jc w:val="both"/>
        <w:rPr/>
      </w:pPr>
      <w:r>
        <w:rPr/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>
      <w:pPr>
        <w:pStyle w:val="ConsPlusNormal"/>
        <w:ind w:firstLine="540"/>
        <w:jc w:val="both"/>
        <w:rPr/>
      </w:pPr>
      <w:r>
        <w:rPr/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>
      <w:pPr>
        <w:pStyle w:val="ConsPlusNormal"/>
        <w:ind w:firstLine="540"/>
        <w:jc w:val="both"/>
        <w:rPr/>
      </w:pPr>
      <w:r>
        <w:rPr/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>
      <w:pPr>
        <w:pStyle w:val="ConsPlusNormal"/>
        <w:ind w:firstLine="540"/>
        <w:jc w:val="both"/>
        <w:rPr/>
      </w:pPr>
      <w:r>
        <w:rPr/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>
      <w:pPr>
        <w:pStyle w:val="ConsPlusNormal"/>
        <w:ind w:firstLine="540"/>
        <w:jc w:val="both"/>
        <w:rPr/>
      </w:pPr>
      <w:r>
        <w:rPr/>
        <w:t>4. С учетом положений распоряжения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>
      <w:pPr>
        <w:pStyle w:val="ConsPlusNormal"/>
        <w:ind w:firstLine="540"/>
        <w:jc w:val="both"/>
        <w:rPr/>
      </w:pPr>
      <w:r>
        <w:rPr/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>
      <w:pPr>
        <w:pStyle w:val="ConsPlusNormal"/>
        <w:ind w:firstLine="540"/>
        <w:jc w:val="both"/>
        <w:rPr/>
      </w:pPr>
      <w:r>
        <w:rPr/>
        <w:t>5. Внедрение стандарта осуществляется на основании решения высшего должностного лица.</w:t>
      </w:r>
    </w:p>
    <w:p>
      <w:pPr>
        <w:pStyle w:val="ConsPlusNormal"/>
        <w:ind w:firstLine="540"/>
        <w:jc w:val="both"/>
        <w:rPr/>
      </w:pPr>
      <w:r>
        <w:rPr/>
        <w:t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приложению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>
      <w:pPr>
        <w:pStyle w:val="ConsPlusNormal"/>
        <w:ind w:firstLine="540"/>
        <w:jc w:val="both"/>
        <w:rPr/>
      </w:pPr>
      <w:r>
        <w:rPr/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II. Определение уполномоченного органа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>
      <w:pPr>
        <w:pStyle w:val="ConsPlusNormal"/>
        <w:ind w:firstLine="540"/>
        <w:jc w:val="both"/>
        <w:rPr/>
      </w:pPr>
      <w:r>
        <w:rPr/>
        <w:t>9. Уполномоченный орган осуществляет следующие полномочия:</w:t>
      </w:r>
    </w:p>
    <w:p>
      <w:pPr>
        <w:pStyle w:val="ConsPlusNormal"/>
        <w:ind w:firstLine="540"/>
        <w:jc w:val="both"/>
        <w:rPr/>
      </w:pPr>
      <w:r>
        <w:rPr/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>
      <w:pPr>
        <w:pStyle w:val="ConsPlusNormal"/>
        <w:ind w:firstLine="540"/>
        <w:jc w:val="both"/>
        <w:rPr/>
      </w:pPr>
      <w:r>
        <w:rPr/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>
      <w:pPr>
        <w:pStyle w:val="ConsPlusNormal"/>
        <w:ind w:firstLine="540"/>
        <w:jc w:val="both"/>
        <w:rPr/>
      </w:pPr>
      <w:r>
        <w:rPr/>
        <w:t>в) разрабатывает проект "дорожной карты" и представляет его на рассмотрение и утверждение высшему должностному лицу;</w:t>
      </w:r>
    </w:p>
    <w:p>
      <w:pPr>
        <w:pStyle w:val="ConsPlusNormal"/>
        <w:ind w:firstLine="540"/>
        <w:jc w:val="both"/>
        <w:rPr/>
      </w:pPr>
      <w:r>
        <w:rPr/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>
      <w:pPr>
        <w:pStyle w:val="ConsPlusNormal"/>
        <w:ind w:firstLine="540"/>
        <w:jc w:val="both"/>
        <w:rPr/>
      </w:pPr>
      <w:r>
        <w:rPr/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>
      <w:pPr>
        <w:pStyle w:val="ConsPlusNormal"/>
        <w:ind w:firstLine="540"/>
        <w:jc w:val="both"/>
        <w:rPr/>
      </w:pPr>
      <w:r>
        <w:rPr/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>
      <w:pPr>
        <w:pStyle w:val="ConsPlusNormal"/>
        <w:ind w:firstLine="540"/>
        <w:jc w:val="both"/>
        <w:rPr/>
      </w:pPr>
      <w:r>
        <w:rPr/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>
      <w:pPr>
        <w:pStyle w:val="ConsPlusNormal"/>
        <w:ind w:firstLine="540"/>
        <w:jc w:val="both"/>
        <w:rPr/>
      </w:pPr>
      <w:r>
        <w:rPr/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>
      <w:pPr>
        <w:pStyle w:val="ConsPlusNormal"/>
        <w:ind w:firstLine="540"/>
        <w:jc w:val="both"/>
        <w:rPr/>
      </w:pPr>
      <w:r>
        <w:rPr/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III. Рассмотрение вопросов содействия развитию конкуренции</w:t>
      </w:r>
    </w:p>
    <w:p>
      <w:pPr>
        <w:pStyle w:val="ConsPlusNormal"/>
        <w:jc w:val="center"/>
        <w:rPr/>
      </w:pPr>
      <w:r>
        <w:rPr/>
        <w:t>на заседаниях коллегиального органа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10. Коллегиальный орган на своих заседаниях рассматривает подготавливаемые в целях стимулирования развития конкуренции:</w:t>
      </w:r>
    </w:p>
    <w:p>
      <w:pPr>
        <w:pStyle w:val="ConsPlusNormal"/>
        <w:ind w:firstLine="540"/>
        <w:jc w:val="both"/>
        <w:rPr/>
      </w:pPr>
      <w:r>
        <w:rPr/>
        <w:t>а) проект перечня с аргументированным обоснованием выбора каждого рынка;</w:t>
      </w:r>
    </w:p>
    <w:p>
      <w:pPr>
        <w:pStyle w:val="ConsPlusNormal"/>
        <w:ind w:firstLine="540"/>
        <w:jc w:val="both"/>
        <w:rPr/>
      </w:pPr>
      <w:r>
        <w:rPr/>
        <w:t>б) проект "дорожной карты", включая информацию о разработке и выполнении мероприятий, предусмотренных "дорожной картой";</w:t>
      </w:r>
    </w:p>
    <w:p>
      <w:pPr>
        <w:pStyle w:val="ConsPlusNormal"/>
        <w:ind w:firstLine="540"/>
        <w:jc w:val="both"/>
        <w:rPr/>
      </w:pPr>
      <w:r>
        <w:rPr/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>
      <w:pPr>
        <w:pStyle w:val="ConsPlusNormal"/>
        <w:ind w:firstLine="540"/>
        <w:jc w:val="both"/>
        <w:rPr/>
      </w:pPr>
      <w:r>
        <w:rPr/>
        <w:t>г) результаты и анализ результатов мониторинга.</w:t>
      </w:r>
    </w:p>
    <w:p>
      <w:pPr>
        <w:pStyle w:val="ConsPlusNormal"/>
        <w:ind w:firstLine="540"/>
        <w:jc w:val="both"/>
        <w:rPr/>
      </w:pPr>
      <w:r>
        <w:rPr/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>
      <w:pPr>
        <w:pStyle w:val="ConsPlusNormal"/>
        <w:ind w:firstLine="540"/>
        <w:jc w:val="both"/>
        <w:rPr/>
      </w:pPr>
      <w:bookmarkStart w:id="2" w:name="P71"/>
      <w:bookmarkEnd w:id="2"/>
      <w:r>
        <w:rPr/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>
      <w:pPr>
        <w:pStyle w:val="ConsPlusNormal"/>
        <w:ind w:firstLine="540"/>
        <w:jc w:val="both"/>
        <w:rPr/>
      </w:pPr>
      <w:r>
        <w:rPr/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>
      <w:pPr>
        <w:pStyle w:val="ConsPlusNormal"/>
        <w:ind w:firstLine="540"/>
        <w:jc w:val="both"/>
        <w:rPr/>
      </w:pPr>
      <w:r>
        <w:rPr/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>
      <w:pPr>
        <w:pStyle w:val="ConsPlusNormal"/>
        <w:ind w:firstLine="540"/>
        <w:jc w:val="both"/>
        <w:rPr/>
      </w:pPr>
      <w:r>
        <w:rPr/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>
      <w:pPr>
        <w:pStyle w:val="ConsPlusNormal"/>
        <w:ind w:firstLine="540"/>
        <w:jc w:val="both"/>
        <w:rPr/>
      </w:pPr>
      <w:r>
        <w:rPr/>
        <w:t>г) представители региональной комиссии по проведению административной реформы;</w:t>
      </w:r>
    </w:p>
    <w:p>
      <w:pPr>
        <w:pStyle w:val="ConsPlusNormal"/>
        <w:ind w:firstLine="540"/>
        <w:jc w:val="both"/>
        <w:rPr/>
      </w:pPr>
      <w:r>
        <w:rPr/>
        <w:t>д) представители научных, исследовательских, проектных, аналитических организаций и технологических платформ;</w:t>
      </w:r>
    </w:p>
    <w:p>
      <w:pPr>
        <w:pStyle w:val="ConsPlusNormal"/>
        <w:ind w:firstLine="540"/>
        <w:jc w:val="both"/>
        <w:rPr/>
      </w:pPr>
      <w:r>
        <w:rPr/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>
      <w:pPr>
        <w:pStyle w:val="ConsPlusNormal"/>
        <w:ind w:firstLine="540"/>
        <w:jc w:val="both"/>
        <w:rPr/>
      </w:pPr>
      <w:r>
        <w:rPr/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>
      <w:pPr>
        <w:pStyle w:val="ConsPlusNormal"/>
        <w:ind w:firstLine="540"/>
        <w:jc w:val="both"/>
        <w:rPr/>
      </w:pPr>
      <w:r>
        <w:rPr/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>
      <w:pPr>
        <w:pStyle w:val="ConsPlusNormal"/>
        <w:ind w:firstLine="540"/>
        <w:jc w:val="both"/>
        <w:rPr/>
      </w:pPr>
      <w:r>
        <w:rPr/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>
      <w:pPr>
        <w:pStyle w:val="ConsPlusNormal"/>
        <w:ind w:firstLine="540"/>
        <w:jc w:val="both"/>
        <w:rPr/>
      </w:pPr>
      <w:r>
        <w:rPr/>
        <w:t>к) представители организаций, действующих в интересах независимых директоров;</w:t>
      </w:r>
    </w:p>
    <w:p>
      <w:pPr>
        <w:pStyle w:val="ConsPlusNormal"/>
        <w:ind w:firstLine="540"/>
        <w:jc w:val="both"/>
        <w:rPr/>
      </w:pPr>
      <w:r>
        <w:rPr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>
      <w:pPr>
        <w:pStyle w:val="ConsPlusNormal"/>
        <w:ind w:firstLine="540"/>
        <w:jc w:val="both"/>
        <w:rPr/>
      </w:pPr>
      <w:r>
        <w:rPr/>
        <w:t>13. В случае необходимости в состав коллегиального органа помимо лиц, указанных в пункте 12 стандарта, могут включаться иные участники (с учетом региональной специфики).</w:t>
      </w:r>
    </w:p>
    <w:p>
      <w:pPr>
        <w:pStyle w:val="ConsPlusNormal"/>
        <w:ind w:firstLine="540"/>
        <w:jc w:val="both"/>
        <w:rPr/>
      </w:pPr>
      <w:r>
        <w:rPr/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>
      <w:pPr>
        <w:pStyle w:val="ConsPlusNormal"/>
        <w:ind w:firstLine="540"/>
        <w:jc w:val="both"/>
        <w:rPr/>
      </w:pPr>
      <w:r>
        <w:rPr/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>
      <w:pPr>
        <w:pStyle w:val="ConsPlusNormal"/>
        <w:ind w:firstLine="540"/>
        <w:jc w:val="both"/>
        <w:rPr/>
      </w:pPr>
      <w:r>
        <w:rPr/>
        <w:t>б) уполномоченный по защите прав предпринимателей в субъекте Российской Федерации;</w:t>
      </w:r>
    </w:p>
    <w:p>
      <w:pPr>
        <w:pStyle w:val="ConsPlusNormal"/>
        <w:ind w:firstLine="540"/>
        <w:jc w:val="both"/>
        <w:rPr/>
      </w:pPr>
      <w:r>
        <w:rPr/>
        <w:t>в) уполномоченный по правам человека в субъекте Российской Федерации.</w:t>
      </w:r>
    </w:p>
    <w:p>
      <w:pPr>
        <w:pStyle w:val="ConsPlusNormal"/>
        <w:ind w:firstLine="540"/>
        <w:jc w:val="both"/>
        <w:rPr/>
      </w:pPr>
      <w:r>
        <w:rPr/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>
      <w:pPr>
        <w:pStyle w:val="ConsPlusNormal"/>
        <w:ind w:firstLine="540"/>
        <w:jc w:val="both"/>
        <w:rPr/>
      </w:pPr>
      <w:r>
        <w:rPr/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IV. Утверждение перечня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>
      <w:pPr>
        <w:pStyle w:val="ConsPlusNormal"/>
        <w:ind w:firstLine="540"/>
        <w:jc w:val="both"/>
        <w:rPr/>
      </w:pPr>
      <w:r>
        <w:rPr/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>
      <w:pPr>
        <w:pStyle w:val="ConsPlusNormal"/>
        <w:ind w:firstLine="540"/>
        <w:jc w:val="both"/>
        <w:rPr/>
      </w:pPr>
      <w:r>
        <w:rPr/>
        <w:t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>
      <w:pPr>
        <w:pStyle w:val="ConsPlusNormal"/>
        <w:ind w:firstLine="540"/>
        <w:jc w:val="both"/>
        <w:rPr/>
      </w:pPr>
      <w:r>
        <w:rPr/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>
      <w:pPr>
        <w:pStyle w:val="ConsPlusNormal"/>
        <w:ind w:firstLine="540"/>
        <w:jc w:val="both"/>
        <w:rPr/>
      </w:pPr>
      <w:r>
        <w:rPr/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>
      <w:pPr>
        <w:pStyle w:val="ConsPlusNormal"/>
        <w:ind w:firstLine="540"/>
        <w:jc w:val="both"/>
        <w:rPr/>
      </w:pPr>
      <w:r>
        <w:rPr/>
        <w:t>22. При формировании перечня социально значимых рынков в первую очередь в него включается обязательный перечень рынков, предусмотренных приложением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>
      <w:pPr>
        <w:pStyle w:val="ConsPlusNormal"/>
        <w:ind w:firstLine="540"/>
        <w:jc w:val="both"/>
        <w:rPr/>
      </w:pPr>
      <w:r>
        <w:rPr/>
        <w:t>23. Помимо рынков, предусмотренных приложением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>
      <w:pPr>
        <w:pStyle w:val="ConsPlusNormal"/>
        <w:ind w:firstLine="540"/>
        <w:jc w:val="both"/>
        <w:rPr/>
      </w:pPr>
      <w:r>
        <w:rPr/>
        <w:t>24. Формирование перечня осуществляется в том числе на основе следующих данных:</w:t>
      </w:r>
    </w:p>
    <w:p>
      <w:pPr>
        <w:pStyle w:val="ConsPlusNormal"/>
        <w:ind w:firstLine="540"/>
        <w:jc w:val="both"/>
        <w:rPr/>
      </w:pPr>
      <w:r>
        <w:rPr/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>
      <w:pPr>
        <w:pStyle w:val="ConsPlusNormal"/>
        <w:ind w:firstLine="540"/>
        <w:jc w:val="both"/>
        <w:rPr/>
      </w:pPr>
      <w:r>
        <w:rPr/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>
      <w:pPr>
        <w:pStyle w:val="ConsPlusNormal"/>
        <w:ind w:firstLine="540"/>
        <w:jc w:val="both"/>
        <w:rPr/>
      </w:pPr>
      <w:r>
        <w:rPr/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>
      <w:pPr>
        <w:pStyle w:val="ConsPlusNormal"/>
        <w:ind w:firstLine="540"/>
        <w:jc w:val="both"/>
        <w:rPr/>
      </w:pPr>
      <w:r>
        <w:rPr/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>
      <w:pPr>
        <w:pStyle w:val="ConsPlusNormal"/>
        <w:ind w:firstLine="540"/>
        <w:jc w:val="both"/>
        <w:rPr/>
      </w:pPr>
      <w:r>
        <w:rPr/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>
      <w:pPr>
        <w:pStyle w:val="ConsPlusNormal"/>
        <w:ind w:firstLine="540"/>
        <w:jc w:val="both"/>
        <w:rPr/>
      </w:pPr>
      <w:r>
        <w:rPr/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>
      <w:pPr>
        <w:pStyle w:val="ConsPlusNormal"/>
        <w:ind w:firstLine="540"/>
        <w:jc w:val="both"/>
        <w:rPr/>
      </w:pPr>
      <w:r>
        <w:rPr/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>
      <w:pPr>
        <w:pStyle w:val="ConsPlusNormal"/>
        <w:ind w:firstLine="540"/>
        <w:jc w:val="both"/>
        <w:rPr/>
      </w:pPr>
      <w:r>
        <w:rPr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>
      <w:pPr>
        <w:pStyle w:val="ConsPlusNormal"/>
        <w:ind w:firstLine="540"/>
        <w:jc w:val="both"/>
        <w:rPr/>
      </w:pPr>
      <w:r>
        <w:rPr/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V. Разработка "дорожной карты"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27. Утверждение "дорожной карты" осуществляется на уровне высшего должностного лица.</w:t>
      </w:r>
    </w:p>
    <w:p>
      <w:pPr>
        <w:pStyle w:val="ConsPlusNormal"/>
        <w:ind w:firstLine="540"/>
        <w:jc w:val="both"/>
        <w:rPr/>
      </w:pPr>
      <w:r>
        <w:rPr/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>
      <w:pPr>
        <w:pStyle w:val="ConsPlusNormal"/>
        <w:ind w:firstLine="540"/>
        <w:jc w:val="both"/>
        <w:rPr/>
      </w:pPr>
      <w:r>
        <w:rPr/>
        <w:t>29. Мероприятия (в том числе системные), предусмотренные "дорожной картой", для рынков, предусмотренных приложением к стандарту, могут разрабатываться до выполнения проведения мониторинга.</w:t>
      </w:r>
    </w:p>
    <w:p>
      <w:pPr>
        <w:pStyle w:val="ConsPlusNormal"/>
        <w:ind w:firstLine="540"/>
        <w:jc w:val="both"/>
        <w:rPr/>
      </w:pPr>
      <w:r>
        <w:rPr/>
        <w:t>30. При разработке и реализации "дорожной карты", а также при внесении в нее изменений осуществляются:</w:t>
      </w:r>
    </w:p>
    <w:p>
      <w:pPr>
        <w:pStyle w:val="ConsPlusNormal"/>
        <w:ind w:firstLine="540"/>
        <w:jc w:val="both"/>
        <w:rPr/>
      </w:pPr>
      <w:r>
        <w:rPr/>
        <w:t>а) определение процессов, необходимых для реализации требований по развитию конкуренции;</w:t>
      </w:r>
    </w:p>
    <w:p>
      <w:pPr>
        <w:pStyle w:val="ConsPlusNormal"/>
        <w:ind w:firstLine="540"/>
        <w:jc w:val="both"/>
        <w:rPr/>
      </w:pPr>
      <w:r>
        <w:rPr/>
        <w:t>б) определение последовательности и взаимодействия этих процессов, а также их приоритетность;</w:t>
      </w:r>
    </w:p>
    <w:p>
      <w:pPr>
        <w:pStyle w:val="ConsPlusNormal"/>
        <w:ind w:firstLine="540"/>
        <w:jc w:val="both"/>
        <w:rPr/>
      </w:pPr>
      <w:r>
        <w:rPr/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>
      <w:pPr>
        <w:pStyle w:val="ConsPlusNormal"/>
        <w:ind w:firstLine="540"/>
        <w:jc w:val="both"/>
        <w:rPr/>
      </w:pPr>
      <w:r>
        <w:rPr/>
        <w:t>г) обеспечение ресурсов и информации, необходимых для поддержания этих процессов и их мониторинга;</w:t>
      </w:r>
    </w:p>
    <w:p>
      <w:pPr>
        <w:pStyle w:val="ConsPlusNormal"/>
        <w:ind w:firstLine="540"/>
        <w:jc w:val="both"/>
        <w:rPr/>
      </w:pPr>
      <w:r>
        <w:rPr/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>
      <w:pPr>
        <w:pStyle w:val="ConsPlusNormal"/>
        <w:ind w:firstLine="540"/>
        <w:jc w:val="both"/>
        <w:rPr/>
      </w:pPr>
      <w:r>
        <w:rPr/>
        <w:t>е) мониторинг, измерение и анализ процессов, необходимых для реализации требований в отношении развития конкуренции;</w:t>
      </w:r>
    </w:p>
    <w:p>
      <w:pPr>
        <w:pStyle w:val="ConsPlusNormal"/>
        <w:ind w:firstLine="540"/>
        <w:jc w:val="both"/>
        <w:rPr/>
      </w:pPr>
      <w:r>
        <w:rPr/>
        <w:t>ж) мероприятия, необходимые для достижения запланированных результатов.</w:t>
      </w:r>
    </w:p>
    <w:p>
      <w:pPr>
        <w:pStyle w:val="ConsPlusNormal"/>
        <w:ind w:firstLine="540"/>
        <w:jc w:val="both"/>
        <w:rPr/>
      </w:pPr>
      <w:r>
        <w:rPr/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>
      <w:pPr>
        <w:pStyle w:val="ConsPlusNormal"/>
        <w:ind w:firstLine="540"/>
        <w:jc w:val="both"/>
        <w:rPr/>
      </w:pPr>
      <w:r>
        <w:rPr/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>
      <w:pPr>
        <w:pStyle w:val="ConsPlusNormal"/>
        <w:ind w:firstLine="540"/>
        <w:jc w:val="both"/>
        <w:rPr/>
      </w:pPr>
      <w:r>
        <w:rPr/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  <w:t>32. Системные мероприятия, предусмотренные "дорожной картой" с учетом приложения к стандарту, направлены на развитие конкурентной среды в субъекте Российской Федерации, в том числе:</w:t>
      </w:r>
    </w:p>
    <w:p>
      <w:pPr>
        <w:pStyle w:val="ConsPlusNormal"/>
        <w:ind w:firstLine="540"/>
        <w:jc w:val="both"/>
        <w:rPr/>
      </w:pPr>
      <w:r>
        <w:rPr/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>
      <w:pPr>
        <w:pStyle w:val="ConsPlusNormal"/>
        <w:ind w:firstLine="540"/>
        <w:jc w:val="both"/>
        <w:rPr/>
      </w:pPr>
      <w:r>
        <w:rPr/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>
      <w:pPr>
        <w:pStyle w:val="ConsPlusNormal"/>
        <w:ind w:firstLine="540"/>
        <w:jc w:val="both"/>
        <w:rPr/>
      </w:pPr>
      <w:r>
        <w:rPr/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>
      <w:pPr>
        <w:pStyle w:val="ConsPlusNormal"/>
        <w:ind w:firstLine="540"/>
        <w:jc w:val="both"/>
        <w:rPr/>
      </w:pPr>
      <w:r>
        <w:rPr/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>
      <w:pPr>
        <w:pStyle w:val="ConsPlusNormal"/>
        <w:ind w:firstLine="540"/>
        <w:jc w:val="both"/>
        <w:rPr/>
      </w:pPr>
      <w:r>
        <w:rPr/>
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конкуренции";</w:t>
      </w:r>
    </w:p>
    <w:p>
      <w:pPr>
        <w:pStyle w:val="ConsPlusNormal"/>
        <w:ind w:firstLine="540"/>
        <w:jc w:val="both"/>
        <w:rPr/>
      </w:pPr>
      <w:r>
        <w:rPr/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>
      <w:pPr>
        <w:pStyle w:val="ConsPlusNormal"/>
        <w:ind w:firstLine="540"/>
        <w:jc w:val="both"/>
        <w:rPr/>
      </w:pPr>
      <w:r>
        <w:rPr/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>
      <w:pPr>
        <w:pStyle w:val="ConsPlusNormal"/>
        <w:ind w:firstLine="540"/>
        <w:jc w:val="both"/>
        <w:rPr/>
      </w:pPr>
      <w:r>
        <w:rPr/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>
      <w:pPr>
        <w:pStyle w:val="ConsPlusNormal"/>
        <w:ind w:firstLine="540"/>
        <w:jc w:val="both"/>
        <w:rPr/>
      </w:pPr>
      <w:r>
        <w:rPr/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>
      <w:pPr>
        <w:pStyle w:val="ConsPlusNormal"/>
        <w:ind w:firstLine="540"/>
        <w:jc w:val="both"/>
        <w:rPr/>
      </w:pPr>
      <w:r>
        <w:rPr/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>
      <w:pPr>
        <w:pStyle w:val="ConsPlusNormal"/>
        <w:ind w:firstLine="540"/>
        <w:jc w:val="both"/>
        <w:rPr/>
      </w:pPr>
      <w:r>
        <w:rPr/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>
      <w:pPr>
        <w:pStyle w:val="ConsPlusNormal"/>
        <w:ind w:firstLine="540"/>
        <w:jc w:val="both"/>
        <w:rPr/>
      </w:pPr>
      <w:r>
        <w:rPr/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>
      <w:pPr>
        <w:pStyle w:val="ConsPlusNormal"/>
        <w:ind w:firstLine="540"/>
        <w:jc w:val="both"/>
        <w:rPr/>
      </w:pPr>
      <w:r>
        <w:rPr/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>
      <w:pPr>
        <w:pStyle w:val="ConsPlusNormal"/>
        <w:ind w:firstLine="540"/>
        <w:jc w:val="both"/>
        <w:rPr/>
      </w:pPr>
      <w:r>
        <w:rPr/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>
      <w:pPr>
        <w:pStyle w:val="ConsPlusNormal"/>
        <w:ind w:firstLine="540"/>
        <w:jc w:val="both"/>
        <w:rPr/>
      </w:pPr>
      <w:r>
        <w:rPr/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>
      <w:pPr>
        <w:pStyle w:val="ConsPlusNormal"/>
        <w:ind w:firstLine="540"/>
        <w:jc w:val="both"/>
        <w:rPr/>
      </w:pPr>
      <w:r>
        <w:rPr/>
        <w:t>ж) на мобильность трудовых ресурсов, способствующую повышению эффективности труда;</w:t>
      </w:r>
    </w:p>
    <w:p>
      <w:pPr>
        <w:pStyle w:val="ConsPlusNormal"/>
        <w:ind w:firstLine="540"/>
        <w:jc w:val="both"/>
        <w:rPr/>
      </w:pPr>
      <w:r>
        <w:rPr/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>
      <w:pPr>
        <w:pStyle w:val="ConsPlusNormal"/>
        <w:ind w:firstLine="540"/>
        <w:jc w:val="both"/>
        <w:rPr/>
      </w:pPr>
      <w:r>
        <w:rPr/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>
      <w:pPr>
        <w:pStyle w:val="ConsPlusNormal"/>
        <w:ind w:firstLine="540"/>
        <w:jc w:val="both"/>
        <w:rPr/>
      </w:pPr>
      <w:r>
        <w:rPr/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>
      <w:pPr>
        <w:pStyle w:val="ConsPlusNormal"/>
        <w:ind w:firstLine="540"/>
        <w:jc w:val="both"/>
        <w:rPr/>
      </w:pPr>
      <w:r>
        <w:rPr/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>
      <w:pPr>
        <w:pStyle w:val="ConsPlusNormal"/>
        <w:ind w:firstLine="540"/>
        <w:jc w:val="both"/>
        <w:rPr/>
      </w:pPr>
      <w:r>
        <w:rPr/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>
      <w:pPr>
        <w:pStyle w:val="ConsPlusNormal"/>
        <w:ind w:firstLine="540"/>
        <w:jc w:val="both"/>
        <w:rPr/>
      </w:pPr>
      <w:r>
        <w:rPr/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>
      <w:pPr>
        <w:pStyle w:val="ConsPlusNormal"/>
        <w:ind w:firstLine="540"/>
        <w:jc w:val="both"/>
        <w:rPr/>
      </w:pPr>
      <w:r>
        <w:rPr/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>
      <w:pPr>
        <w:pStyle w:val="ConsPlusNormal"/>
        <w:ind w:firstLine="540"/>
        <w:jc w:val="both"/>
        <w:rPr/>
      </w:pPr>
      <w:r>
        <w:rPr/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>
      <w:pPr>
        <w:pStyle w:val="ConsPlusNormal"/>
        <w:ind w:firstLine="540"/>
        <w:jc w:val="both"/>
        <w:rPr/>
      </w:pPr>
      <w:r>
        <w:rPr/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>
      <w:pPr>
        <w:pStyle w:val="ConsPlusNormal"/>
        <w:ind w:firstLine="540"/>
        <w:jc w:val="both"/>
        <w:rPr/>
      </w:pPr>
      <w:r>
        <w:rPr/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>
      <w:pPr>
        <w:pStyle w:val="ConsPlusNormal"/>
        <w:ind w:firstLine="540"/>
        <w:jc w:val="both"/>
        <w:rPr/>
      </w:pPr>
      <w:r>
        <w:rPr/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>
      <w:pPr>
        <w:pStyle w:val="ConsPlusNormal"/>
        <w:ind w:firstLine="540"/>
        <w:jc w:val="both"/>
        <w:rPr/>
      </w:pPr>
      <w:r>
        <w:rPr/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VI. Проведение мониторинга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41. Уполномоченный орган ежегодно организует проведение мониторинга.</w:t>
      </w:r>
    </w:p>
    <w:p>
      <w:pPr>
        <w:pStyle w:val="ConsPlusNormal"/>
        <w:ind w:firstLine="540"/>
        <w:jc w:val="both"/>
        <w:rPr/>
      </w:pPr>
      <w:bookmarkStart w:id="3" w:name="P160"/>
      <w:bookmarkEnd w:id="3"/>
      <w:r>
        <w:rPr/>
        <w:t>42. Мониторинг включает в себя:</w:t>
      </w:r>
    </w:p>
    <w:p>
      <w:pPr>
        <w:pStyle w:val="ConsPlusNormal"/>
        <w:ind w:firstLine="540"/>
        <w:jc w:val="both"/>
        <w:rPr/>
      </w:pPr>
      <w:r>
        <w:rPr/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>
      <w:pPr>
        <w:pStyle w:val="ConsPlusNormal"/>
        <w:ind w:firstLine="540"/>
        <w:jc w:val="both"/>
        <w:rPr/>
      </w:pPr>
      <w:r>
        <w:rPr/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>
      <w:pPr>
        <w:pStyle w:val="ConsPlusNormal"/>
        <w:ind w:firstLine="540"/>
        <w:jc w:val="both"/>
        <w:rPr/>
      </w:pPr>
      <w:r>
        <w:rPr/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>
      <w:pPr>
        <w:pStyle w:val="ConsPlusNormal"/>
        <w:ind w:firstLine="540"/>
        <w:jc w:val="both"/>
        <w:rPr/>
      </w:pPr>
      <w:r>
        <w:rPr/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>
      <w:pPr>
        <w:pStyle w:val="ConsPlusNormal"/>
        <w:ind w:firstLine="540"/>
        <w:jc w:val="both"/>
        <w:rPr/>
      </w:pPr>
      <w:r>
        <w:rPr/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>
      <w:pPr>
        <w:pStyle w:val="ConsPlusNormal"/>
        <w:ind w:firstLine="540"/>
        <w:jc w:val="both"/>
        <w:rPr/>
      </w:pPr>
      <w:r>
        <w:rPr/>
        <w:t>выделение групп потребителей товаров, работ и услуг в соответствии с их социальным статусом (учащиеся, пенсионеры и др.);</w:t>
      </w:r>
    </w:p>
    <w:p>
      <w:pPr>
        <w:pStyle w:val="ConsPlusNormal"/>
        <w:ind w:firstLine="540"/>
        <w:jc w:val="both"/>
        <w:rPr/>
      </w:pPr>
      <w:r>
        <w:rPr/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>
      <w:pPr>
        <w:pStyle w:val="ConsPlusNormal"/>
        <w:ind w:firstLine="540"/>
        <w:jc w:val="both"/>
        <w:rPr/>
      </w:pPr>
      <w:r>
        <w:rPr/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>
      <w:pPr>
        <w:pStyle w:val="ConsPlusNormal"/>
        <w:ind w:firstLine="540"/>
        <w:jc w:val="both"/>
        <w:rPr/>
      </w:pPr>
      <w:r>
        <w:rPr/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>
      <w:pPr>
        <w:pStyle w:val="ConsPlusNormal"/>
        <w:ind w:firstLine="540"/>
        <w:jc w:val="both"/>
        <w:rPr/>
      </w:pPr>
      <w:r>
        <w:rPr/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>
      <w:pPr>
        <w:pStyle w:val="ConsPlusNormal"/>
        <w:ind w:firstLine="540"/>
        <w:jc w:val="both"/>
        <w:rPr/>
      </w:pPr>
      <w:r>
        <w:rPr/>
        <w:t>формирование перечня рынков, на которых присутствуют субъекты естественных монополий;</w:t>
      </w:r>
    </w:p>
    <w:p>
      <w:pPr>
        <w:pStyle w:val="ConsPlusNormal"/>
        <w:ind w:firstLine="540"/>
        <w:jc w:val="both"/>
        <w:rPr/>
      </w:pPr>
      <w:r>
        <w:rPr/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>
      <w:pPr>
        <w:pStyle w:val="ConsPlusNormal"/>
        <w:ind w:firstLine="540"/>
        <w:jc w:val="both"/>
        <w:rPr/>
      </w:pPr>
      <w:r>
        <w:rPr/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>
      <w:pPr>
        <w:pStyle w:val="ConsPlusNormal"/>
        <w:ind w:firstLine="540"/>
        <w:jc w:val="both"/>
        <w:rPr/>
      </w:pPr>
      <w:r>
        <w:rPr/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>
      <w:pPr>
        <w:pStyle w:val="ConsPlusNormal"/>
        <w:ind w:firstLine="540"/>
        <w:jc w:val="both"/>
        <w:rPr/>
      </w:pPr>
      <w:r>
        <w:rPr/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>
      <w:pPr>
        <w:pStyle w:val="ConsPlusNormal"/>
        <w:ind w:firstLine="540"/>
        <w:jc w:val="both"/>
        <w:rPr/>
      </w:pPr>
      <w:bookmarkStart w:id="4" w:name="P176"/>
      <w:bookmarkEnd w:id="4"/>
      <w:r>
        <w:rPr/>
        <w:t>43. При проведении мониторинга уполномоченный орган использует в том числе:</w:t>
      </w:r>
    </w:p>
    <w:p>
      <w:pPr>
        <w:pStyle w:val="ConsPlusNormal"/>
        <w:ind w:firstLine="540"/>
        <w:jc w:val="both"/>
        <w:rPr/>
      </w:pPr>
      <w:r>
        <w:rPr/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>
      <w:pPr>
        <w:pStyle w:val="ConsPlusNormal"/>
        <w:ind w:firstLine="540"/>
        <w:jc w:val="both"/>
        <w:rPr/>
      </w:pPr>
      <w:r>
        <w:rPr/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>
      <w:pPr>
        <w:pStyle w:val="ConsPlusNormal"/>
        <w:ind w:firstLine="540"/>
        <w:jc w:val="both"/>
        <w:rPr/>
      </w:pPr>
      <w:r>
        <w:rPr/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>
      <w:pPr>
        <w:pStyle w:val="ConsPlusNormal"/>
        <w:ind w:firstLine="540"/>
        <w:jc w:val="both"/>
        <w:rPr/>
      </w:pPr>
      <w:r>
        <w:rPr/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>
      <w:pPr>
        <w:pStyle w:val="ConsPlusNormal"/>
        <w:ind w:firstLine="540"/>
        <w:jc w:val="both"/>
        <w:rPr/>
      </w:pPr>
      <w:r>
        <w:rPr/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>
      <w:pPr>
        <w:pStyle w:val="ConsPlusNormal"/>
        <w:ind w:firstLine="540"/>
        <w:jc w:val="both"/>
        <w:rPr/>
      </w:pPr>
      <w:r>
        <w:rPr/>
        <w:t>е) показатели, характеризующие состояние экономики и социальной сферы каждого муниципального образования;</w:t>
      </w:r>
    </w:p>
    <w:p>
      <w:pPr>
        <w:pStyle w:val="ConsPlusNormal"/>
        <w:ind w:firstLine="540"/>
        <w:jc w:val="both"/>
        <w:rPr/>
      </w:pPr>
      <w:r>
        <w:rPr/>
        <w:t>ж) информацию о результатах общественного контроля за деятельностью субъектов естественных монополий;</w:t>
      </w:r>
    </w:p>
    <w:p>
      <w:pPr>
        <w:pStyle w:val="ConsPlusNormal"/>
        <w:ind w:firstLine="540"/>
        <w:jc w:val="both"/>
        <w:rPr/>
      </w:pPr>
      <w:r>
        <w:rPr/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>
      <w:pPr>
        <w:pStyle w:val="ConsPlusNormal"/>
        <w:ind w:firstLine="540"/>
        <w:jc w:val="both"/>
        <w:rPr/>
      </w:pPr>
      <w:r>
        <w:rPr/>
        <w:t>44. Уполномоченный орган вправе самостоятельно выбирать методику проведения мониторинга в соответствии с пунктами 42 и 43 стандарта, а также определять критерии:</w:t>
      </w:r>
    </w:p>
    <w:p>
      <w:pPr>
        <w:pStyle w:val="ConsPlusNormal"/>
        <w:ind w:firstLine="540"/>
        <w:jc w:val="both"/>
        <w:rPr/>
      </w:pPr>
      <w:r>
        <w:rPr/>
        <w:t>а) оценки состояния конкурентной среды субъектами предпринимательской деятельности;</w:t>
      </w:r>
    </w:p>
    <w:p>
      <w:pPr>
        <w:pStyle w:val="ConsPlusNormal"/>
        <w:ind w:firstLine="540"/>
        <w:jc w:val="both"/>
        <w:rPr/>
      </w:pPr>
      <w:r>
        <w:rPr/>
        <w:t>б) установления наличия и уровня административных барьеров и их оценки субъектами предпринимательской деятельности;</w:t>
      </w:r>
    </w:p>
    <w:p>
      <w:pPr>
        <w:pStyle w:val="ConsPlusNormal"/>
        <w:ind w:firstLine="540"/>
        <w:jc w:val="both"/>
        <w:rPr/>
      </w:pPr>
      <w:r>
        <w:rPr/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>
      <w:pPr>
        <w:pStyle w:val="ConsPlusNormal"/>
        <w:ind w:firstLine="540"/>
        <w:jc w:val="both"/>
        <w:rPr/>
      </w:pPr>
      <w:r>
        <w:rPr/>
        <w:t>г) иные критерии.</w:t>
      </w:r>
    </w:p>
    <w:p>
      <w:pPr>
        <w:pStyle w:val="ConsPlusNormal"/>
        <w:ind w:firstLine="540"/>
        <w:jc w:val="both"/>
        <w:rPr/>
      </w:pPr>
      <w:r>
        <w:rPr/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>
      <w:pPr>
        <w:pStyle w:val="ConsPlusNormal"/>
        <w:ind w:firstLine="540"/>
        <w:jc w:val="both"/>
        <w:rPr/>
      </w:pPr>
      <w:r>
        <w:rPr/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>
      <w:pPr>
        <w:pStyle w:val="ConsPlusNormal"/>
        <w:ind w:firstLine="540"/>
        <w:jc w:val="both"/>
        <w:rPr/>
      </w:pPr>
      <w:r>
        <w:rPr/>
        <w:t>47. По результатам проведенного мониторинга уполномоченный орган подготавливает доклад, содержащий в том числе:</w:t>
      </w:r>
    </w:p>
    <w:p>
      <w:pPr>
        <w:pStyle w:val="ConsPlusNormal"/>
        <w:ind w:firstLine="540"/>
        <w:jc w:val="both"/>
        <w:rPr/>
      </w:pPr>
      <w:r>
        <w:rPr/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>
      <w:pPr>
        <w:pStyle w:val="ConsPlusNormal"/>
        <w:ind w:firstLine="540"/>
        <w:jc w:val="both"/>
        <w:rPr/>
      </w:pPr>
      <w:r>
        <w:rPr/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>
      <w:pPr>
        <w:pStyle w:val="ConsPlusNormal"/>
        <w:ind w:firstLine="540"/>
        <w:jc w:val="both"/>
        <w:rPr/>
      </w:pPr>
      <w:r>
        <w:rPr/>
        <w:t>в) информацию о результатах общественного контроля за деятельностью субъектов естественных монополий;</w:t>
      </w:r>
    </w:p>
    <w:p>
      <w:pPr>
        <w:pStyle w:val="ConsPlusNormal"/>
        <w:ind w:firstLine="540"/>
        <w:jc w:val="both"/>
        <w:rPr/>
      </w:pPr>
      <w:r>
        <w:rPr/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>
      <w:pPr>
        <w:pStyle w:val="ConsPlusNormal"/>
        <w:ind w:firstLine="540"/>
        <w:jc w:val="both"/>
        <w:rPr/>
      </w:pPr>
      <w:r>
        <w:rPr/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>
      <w:pPr>
        <w:pStyle w:val="ConsPlusNormal"/>
        <w:ind w:firstLine="540"/>
        <w:jc w:val="both"/>
        <w:rPr/>
      </w:pPr>
      <w:r>
        <w:rPr/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>
      <w:pPr>
        <w:pStyle w:val="ConsPlusNormal"/>
        <w:ind w:firstLine="540"/>
        <w:jc w:val="both"/>
        <w:rPr/>
      </w:pPr>
      <w:r>
        <w:rPr/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>
      <w:pPr>
        <w:pStyle w:val="ConsPlusNormal"/>
        <w:ind w:firstLine="540"/>
        <w:jc w:val="both"/>
        <w:rPr/>
      </w:pPr>
      <w:r>
        <w:rPr/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>
      <w:pPr>
        <w:pStyle w:val="ConsPlusNormal"/>
        <w:ind w:firstLine="540"/>
        <w:jc w:val="both"/>
        <w:rPr/>
      </w:pPr>
      <w:r>
        <w:rPr/>
        <w:t>51. Материалы доклада используются при внесении изменений в стандарт.</w:t>
      </w:r>
    </w:p>
    <w:p>
      <w:pPr>
        <w:pStyle w:val="ConsPlusNormal"/>
        <w:ind w:firstLine="540"/>
        <w:jc w:val="both"/>
        <w:rPr/>
      </w:pPr>
      <w:r>
        <w:rPr/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VII. Создание и реализация механизмов общественного</w:t>
      </w:r>
    </w:p>
    <w:p>
      <w:pPr>
        <w:pStyle w:val="ConsPlusNormal"/>
        <w:jc w:val="center"/>
        <w:rPr/>
      </w:pPr>
      <w:r>
        <w:rPr/>
        <w:t>контроля за деятельностью субъектов естественных монополий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>
      <w:pPr>
        <w:pStyle w:val="ConsPlusNormal"/>
        <w:ind w:firstLine="540"/>
        <w:jc w:val="both"/>
        <w:rPr/>
      </w:pPr>
      <w:r>
        <w:rPr/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>
      <w:pPr>
        <w:pStyle w:val="ConsPlusNormal"/>
        <w:ind w:firstLine="540"/>
        <w:jc w:val="both"/>
        <w:rPr/>
      </w:pPr>
      <w:r>
        <w:rPr/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>
      <w:pPr>
        <w:pStyle w:val="ConsPlusNormal"/>
        <w:ind w:firstLine="540"/>
        <w:jc w:val="both"/>
        <w:rPr/>
      </w:pPr>
      <w:r>
        <w:rPr/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>
      <w:pPr>
        <w:pStyle w:val="ConsPlusNormal"/>
        <w:ind w:firstLine="540"/>
        <w:jc w:val="both"/>
        <w:rPr/>
      </w:pPr>
      <w:r>
        <w:rPr/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>
      <w:pPr>
        <w:pStyle w:val="ConsPlusNormal"/>
        <w:ind w:firstLine="540"/>
        <w:jc w:val="both"/>
        <w:rPr/>
      </w:pPr>
      <w:bookmarkStart w:id="5" w:name="P212"/>
      <w:bookmarkEnd w:id="5"/>
      <w:r>
        <w:rPr/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>
      <w:pPr>
        <w:pStyle w:val="ConsPlusNormal"/>
        <w:ind w:firstLine="540"/>
        <w:jc w:val="both"/>
        <w:rPr/>
      </w:pPr>
      <w:r>
        <w:rPr/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>
      <w:pPr>
        <w:pStyle w:val="ConsPlusNormal"/>
        <w:ind w:firstLine="540"/>
        <w:jc w:val="both"/>
        <w:rPr/>
      </w:pPr>
      <w:r>
        <w:rPr/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>
      <w:pPr>
        <w:pStyle w:val="ConsPlusNormal"/>
        <w:ind w:firstLine="540"/>
        <w:jc w:val="both"/>
        <w:rPr/>
      </w:pPr>
      <w:r>
        <w:rPr/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>
      <w:pPr>
        <w:pStyle w:val="ConsPlusNormal"/>
        <w:ind w:firstLine="540"/>
        <w:jc w:val="both"/>
        <w:rPr/>
      </w:pPr>
      <w:r>
        <w:rPr/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>56. Раскрытие информации, указанной в пункте 55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>
      <w:pPr>
        <w:pStyle w:val="ConsPlusNormal"/>
        <w:ind w:firstLine="540"/>
        <w:jc w:val="both"/>
        <w:rPr/>
      </w:pPr>
      <w:r>
        <w:rPr/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>
      <w:pPr>
        <w:pStyle w:val="ConsPlusNormal"/>
        <w:ind w:firstLine="540"/>
        <w:jc w:val="both"/>
        <w:rPr/>
      </w:pPr>
      <w:r>
        <w:rPr/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>
      <w:pPr>
        <w:pStyle w:val="ConsPlusNormal"/>
        <w:ind w:firstLine="540"/>
        <w:jc w:val="both"/>
        <w:rPr/>
      </w:pPr>
      <w:r>
        <w:rPr/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VIII. Повышение уровня информированности субъектов</w:t>
      </w:r>
    </w:p>
    <w:p>
      <w:pPr>
        <w:pStyle w:val="ConsPlusNormal"/>
        <w:jc w:val="center"/>
        <w:rPr/>
      </w:pPr>
      <w:r>
        <w:rPr/>
        <w:t>предпринимательской деятельности и потребителей товаров,</w:t>
      </w:r>
    </w:p>
    <w:p>
      <w:pPr>
        <w:pStyle w:val="ConsPlusNormal"/>
        <w:jc w:val="center"/>
        <w:rPr/>
      </w:pPr>
      <w:r>
        <w:rPr/>
        <w:t>работ и услуг о состоянии конкурентной среды и деятельности</w:t>
      </w:r>
    </w:p>
    <w:p>
      <w:pPr>
        <w:pStyle w:val="ConsPlusNormal"/>
        <w:jc w:val="center"/>
        <w:rPr/>
      </w:pPr>
      <w:r>
        <w:rPr/>
        <w:t>по содействию развитию конкуренции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>
      <w:pPr>
        <w:pStyle w:val="ConsPlusNormal"/>
        <w:ind w:firstLine="540"/>
        <w:jc w:val="both"/>
        <w:rPr/>
      </w:pPr>
      <w:r>
        <w:rPr/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>
      <w:pPr>
        <w:pStyle w:val="ConsPlusNormal"/>
        <w:ind w:firstLine="540"/>
        <w:jc w:val="both"/>
        <w:rPr/>
      </w:pPr>
      <w:r>
        <w:rPr/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>
      <w:pPr>
        <w:pStyle w:val="ConsPlusNormal"/>
        <w:ind w:firstLine="540"/>
        <w:jc w:val="both"/>
        <w:rPr/>
      </w:pPr>
      <w:r>
        <w:rPr/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>
      <w:pPr>
        <w:pStyle w:val="ConsPlusNormal"/>
        <w:ind w:firstLine="540"/>
        <w:jc w:val="both"/>
        <w:rPr/>
      </w:pPr>
      <w:r>
        <w:rPr/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ind w:firstLine="540"/>
        <w:jc w:val="both"/>
        <w:rPr/>
      </w:pPr>
      <w:r>
        <w:rPr/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стандарту развития конкуренции</w:t>
      </w:r>
    </w:p>
    <w:p>
      <w:pPr>
        <w:pStyle w:val="ConsPlusNormal"/>
        <w:jc w:val="right"/>
        <w:rPr/>
      </w:pPr>
      <w:r>
        <w:rPr/>
        <w:t>в субъектах Российской Федерации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6" w:name="P243"/>
      <w:bookmarkEnd w:id="6"/>
      <w:r>
        <w:rPr/>
        <w:t>ПЕРЕЧЕНЬ</w:t>
      </w:r>
    </w:p>
    <w:p>
      <w:pPr>
        <w:pStyle w:val="ConsPlusNormal"/>
        <w:jc w:val="center"/>
        <w:rPr/>
      </w:pPr>
      <w:r>
        <w:rPr/>
        <w:t>МЕРОПРИЯТИЙ ПО СОДЕЙСТВИЮ РАЗВИТИЮ КОНКУРЕНЦИИ</w:t>
      </w:r>
    </w:p>
    <w:p>
      <w:pPr>
        <w:pStyle w:val="ConsPlusNormal"/>
        <w:jc w:val="center"/>
        <w:rPr/>
      </w:pPr>
      <w:r>
        <w:rPr/>
        <w:t>И ПО РАЗВИТИЮ КОНКУРЕНТНОЙ СРЕДЫ СУБЪЕКТА</w:t>
      </w:r>
    </w:p>
    <w:p>
      <w:pPr>
        <w:pStyle w:val="ConsPlusNormal"/>
        <w:jc w:val="center"/>
        <w:rPr/>
      </w:pPr>
      <w:r>
        <w:rPr/>
        <w:t>РОССИЙСКОЙ ФЕДЕРАЦИИ</w:t>
      </w:r>
    </w:p>
    <w:p>
      <w:pPr>
        <w:pStyle w:val="ConsPlusNormal"/>
        <w:jc w:val="both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09"/>
        <w:gridCol w:w="3742"/>
        <w:gridCol w:w="1"/>
        <w:gridCol w:w="5386"/>
      </w:tblGrid>
      <w:tr>
        <w:trPr/>
        <w:tc>
          <w:tcPr>
            <w:tcW w:w="425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Целевые показатели</w:t>
            </w:r>
          </w:p>
        </w:tc>
      </w:tr>
      <w:tr>
        <w:trPr/>
        <w:tc>
          <w:tcPr>
            <w:tcW w:w="9638" w:type="dxa"/>
            <w:gridSpan w:val="4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дошкольного образования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развитие сектора частных дошкольных образовательных организаций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детского отдыха и оздоровления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>
            <w:pPr>
              <w:pStyle w:val="ConsPlusNormal"/>
              <w:rPr/>
            </w:pPr>
            <w:r>
              <w:rPr/>
              <w:t>в 2015 году - 10 процентов;</w:t>
            </w:r>
          </w:p>
          <w:p>
            <w:pPr>
              <w:pStyle w:val="ConsPlusNormal"/>
              <w:rPr/>
            </w:pPr>
            <w:r>
              <w:rPr/>
              <w:t>в 2016 году - 15 процентов;</w:t>
            </w:r>
          </w:p>
          <w:p>
            <w:pPr>
              <w:pStyle w:val="ConsPlusNormal"/>
              <w:rPr/>
            </w:pPr>
            <w:r>
              <w:rPr/>
              <w:t>в 2017 году - 20 процентов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дополнительного образования детей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медицинских услуг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медицинских услуг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>
            <w:pPr>
              <w:pStyle w:val="ConsPlusNormal"/>
              <w:rPr/>
            </w:pPr>
            <w:r>
              <w:rPr/>
              <w:t>в 2015 году - не менее 6 процентов;</w:t>
            </w:r>
          </w:p>
          <w:p>
            <w:pPr>
              <w:pStyle w:val="ConsPlusNormal"/>
              <w:rPr/>
            </w:pPr>
            <w:r>
              <w:rPr/>
              <w:t>в 2016 году - не менее 7 процентов;</w:t>
            </w:r>
          </w:p>
          <w:p>
            <w:pPr>
              <w:pStyle w:val="ConsPlusNormal"/>
              <w:rPr/>
            </w:pPr>
            <w:r>
              <w:rPr/>
              <w:t>в 2017 году - не менее 8 процентов;</w:t>
            </w:r>
          </w:p>
          <w:p>
            <w:pPr>
              <w:pStyle w:val="ConsPlusNormal"/>
              <w:rPr/>
            </w:pPr>
            <w:r>
              <w:rPr/>
              <w:t>в 2018 году - не менее 10 процентов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в сфере культуры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>
            <w:pPr>
              <w:pStyle w:val="ConsPlusNormal"/>
              <w:rPr/>
            </w:pPr>
            <w:r>
              <w:rPr/>
              <w:t>в 2015 году - не менее 15 процентов;</w:t>
            </w:r>
          </w:p>
          <w:p>
            <w:pPr>
              <w:pStyle w:val="ConsPlusNormal"/>
              <w:rPr/>
            </w:pPr>
            <w:r>
              <w:rPr/>
              <w:t>в 2016 году - не менее 20 процентов;</w:t>
            </w:r>
          </w:p>
          <w:p>
            <w:pPr>
              <w:pStyle w:val="ConsPlusNormal"/>
              <w:rPr/>
            </w:pPr>
            <w:r>
              <w:rPr/>
              <w:t>в 2017 году - не менее 25 процентов;</w:t>
            </w:r>
          </w:p>
          <w:p>
            <w:pPr>
              <w:pStyle w:val="ConsPlusNormal"/>
              <w:rPr/>
            </w:pPr>
            <w:r>
              <w:rPr/>
              <w:t>в 2018 году - не менее 30 процентов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жилищно-коммунального хозяйства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Розничная торговля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розничной торговли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перевозок пассажиров наземным транспортом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>
            <w:pPr>
              <w:pStyle w:val="ConsPlusNormal"/>
              <w:rPr/>
            </w:pPr>
            <w:r>
              <w:rPr/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>
            <w:pPr>
              <w:pStyle w:val="ConsPlusNormal"/>
              <w:rPr/>
            </w:pPr>
            <w:r>
              <w:rPr/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связи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Рынок услуг социального обслуживания населения</w:t>
            </w:r>
          </w:p>
        </w:tc>
      </w:tr>
      <w:tr>
        <w:trPr/>
        <w:tc>
          <w:tcPr>
            <w:tcW w:w="509" w:type="dxa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Развитие конкуренции в сфере социального обслуживания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>
        <w:trPr/>
        <w:tc>
          <w:tcPr>
            <w:tcW w:w="9638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II. Системные мероприятия по развитию конкурентной среды в субъекте Российской Федерации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12.</w:t>
            </w:r>
          </w:p>
        </w:tc>
        <w:tc>
          <w:tcPr>
            <w:tcW w:w="3742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"О закупках товаров, работ, услуг отдельными видами юридических лиц", за 2016 год - не менее 18 процентов;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ограничение влияния государственных предприятий на конкуренцию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14.</w:t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Создание условий для развития конкуренции на рынке строительства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tcBorders/>
            <w:shd w:fill="auto" w:val="clear"/>
          </w:tcPr>
          <w:p>
            <w:pPr>
              <w:pStyle w:val="ConsPlusNormal"/>
              <w:ind w:left="283" w:hanging="0"/>
              <w:rPr/>
            </w:pPr>
            <w:r>
              <w:rPr/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15.</w:t>
            </w:r>
          </w:p>
        </w:tc>
        <w:tc>
          <w:tcPr>
            <w:tcW w:w="3742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дошкольное образование;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детский отдых и оздоровление;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здравоохранение;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социальное обслуживание</w:t>
            </w:r>
          </w:p>
        </w:tc>
      </w:tr>
      <w:tr>
        <w:trPr/>
        <w:tc>
          <w:tcPr>
            <w:tcW w:w="509" w:type="dxa"/>
            <w:vMerge w:val="restart"/>
            <w:tcBorders/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16.</w:t>
            </w:r>
          </w:p>
        </w:tc>
        <w:tc>
          <w:tcPr>
            <w:tcW w:w="3742" w:type="dxa"/>
            <w:vMerge w:val="restart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детский отдых и оздоровление;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спорт;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здравоохранение;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социальное обслуживание;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дошкольное образование;</w:t>
            </w:r>
          </w:p>
        </w:tc>
      </w:tr>
      <w:tr>
        <w:trPr/>
        <w:tc>
          <w:tcPr>
            <w:tcW w:w="509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42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387" w:type="dxa"/>
            <w:gridSpan w:val="2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культура</w:t>
            </w:r>
          </w:p>
        </w:tc>
      </w:tr>
      <w:tr>
        <w:trPr/>
        <w:tc>
          <w:tcPr>
            <w:tcW w:w="50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17.</w:t>
            </w:r>
          </w:p>
        </w:tc>
        <w:tc>
          <w:tcPr>
            <w:tcW w:w="374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тандарт Знак"/>
    <w:basedOn w:val="DefaultParagraphFont"/>
    <w:link w:val="a3"/>
    <w:qFormat/>
    <w:rsid w:val="00b1691b"/>
    <w:rPr>
      <w:rFonts w:ascii="Times New Roman" w:hAnsi="Times New Roman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Стандарт"/>
    <w:basedOn w:val="NoSpacing"/>
    <w:link w:val="a5"/>
    <w:qFormat/>
    <w:rsid w:val="00b1691b"/>
    <w:pPr>
      <w:spacing w:lineRule="auto" w:line="276"/>
      <w:ind w:firstLine="709"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1691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fc484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fc484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fc484a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5637-70E9-403A-AA23-503184E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LibreOffice/6.0.1.1$Windows_x86 LibreOffice_project/60bfb1526849283ce2491346ed2aa51c465abfe6</Application>
  <Pages>16</Pages>
  <Words>7333</Words>
  <Characters>56988</Characters>
  <CharactersWithSpaces>63992</CharactersWithSpaces>
  <Paragraphs>329</Paragraphs>
  <Company>Минэкономразвития 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2016-06-21T13:25:00Z</dcterms:created>
  <dc:creator>Матвиюк</dc:creator>
  <dc:description/>
  <dc:language>ru-RU</dc:language>
  <cp:lastModifiedBy>Администратор</cp:lastModifiedBy>
  <dcterms:modified xsi:type="dcterms:W3CDTF">2016-06-21T13:25:00Z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Минэкономразвития 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