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rPr>
          <w:noProof w:val="1"/>
        </w:rPr>
      </w:r>
      <w:r>
        <w:rPr>
          <w:noProof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/>
                      <a:extLst>
                        <a:ext uri="smNativeData">
                          <sm:smNativeData xmlns:sm="smo" val="SMDATA_12_BlQl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CCAwAAGwU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/>
    </w:p>
    <w:p>
      <w:pPr>
        <w:spacing/>
        <w:jc w:val="center"/>
      </w:pPr>
      <w:r/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sz w:val="28"/>
          <w:szCs w:val="28"/>
        </w:rPr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  <w:r>
        <w:rPr>
          <w:sz w:val="28"/>
          <w:szCs w:val="28"/>
        </w:rPr>
      </w:r>
    </w:p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r>
        <w:rPr>
          <w:sz w:val="28"/>
          <w:szCs w:val="28"/>
        </w:rPr>
        <w:t xml:space="preserve">28 </w:t>
      </w:r>
      <w:r/>
      <w:bookmarkStart w:id="0" w:name="_GoBack"/>
      <w:bookmarkEnd w:id="0"/>
      <w:r/>
      <w:r>
        <w:rPr>
          <w:sz w:val="28"/>
          <w:szCs w:val="28"/>
        </w:rPr>
        <w:t xml:space="preserve"> декабря 2019 г.</w:t>
        <w:tab/>
        <w:tab/>
        <w:tab/>
        <w:tab/>
        <w:tab/>
        <w:tab/>
        <w:tab/>
        <w:t xml:space="preserve">          №  513 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-55" w:type="dxa"/>
        <w:tblW w:w="5100" w:type="dxa"/>
      </w:tblPr>
      <w:tblGrid>
        <w:gridCol w:w="5100"/>
      </w:tblGrid>
      <w:tr>
        <w:trPr>
          <w:trHeight w:val="0" w:hRule="auto"/>
        </w:trPr>
        <w:tc>
          <w:tcPr>
            <w:tcW w:w="510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ConsPlusTitle"/>
              <w: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Порядка составления, утверждения и ведения бюджетных смет Администрации Лахденпохского муниципального района и подведомственных ей казенных учреждений, финансируемых из бюджета Лахденпохского городского поселения  </w:t>
            </w:r>
          </w:p>
        </w:tc>
      </w:tr>
    </w:tbl>
    <w:p>
      <w:pPr>
        <w:pStyle w:val="ConsPlusTitle"/>
        <w:rPr>
          <w:b w:val="0"/>
        </w:rPr>
      </w:pPr>
      <w:r>
        <w:rPr>
          <w:b w:val="0"/>
        </w:rPr>
      </w:r>
    </w:p>
    <w:p>
      <w:pPr>
        <w:pStyle w:val="ConsPlusNormal"/>
        <w:ind w:firstLine="539"/>
        <w:spacing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Style w:val="ListLabel3"/>
          <w:rFonts w:ascii="Times New Roman" w:hAnsi="Times New Roman"/>
          <w:color w:val="000000"/>
          <w:sz w:val="28"/>
          <w:szCs w:val="28"/>
        </w:rPr>
        <w:t>статьями 158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ListLabel3"/>
          <w:rFonts w:ascii="Times New Roman" w:hAnsi="Times New Roman"/>
          <w:color w:val="000000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ListLabel3"/>
          <w:rFonts w:ascii="Times New Roman" w:hAnsi="Times New Roman"/>
          <w:color w:val="000000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Style w:val="ListLabel3"/>
          <w:rFonts w:ascii="Times New Roman" w:hAnsi="Times New Roman"/>
          <w:color w:val="000000"/>
          <w:sz w:val="28"/>
          <w:szCs w:val="28"/>
        </w:rPr>
        <w:t>221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Style w:val="ListLabel3"/>
          <w:rFonts w:ascii="Times New Roman" w:hAnsi="Times New Roman"/>
          <w:color w:val="000000"/>
          <w:sz w:val="28"/>
          <w:szCs w:val="28"/>
        </w:rPr>
        <w:t>Общими требованиями</w:t>
      </w:r>
      <w:r>
        <w:rPr>
          <w:rFonts w:ascii="Times New Roman" w:hAnsi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26н Администрация Лахденпохского муниципального района постановляет:</w:t>
      </w:r>
      <w:r/>
    </w:p>
    <w:p>
      <w:pPr>
        <w:pStyle w:val="ConsPlusNormal"/>
        <w:ind w:firstLine="53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твердить прилагаемый </w:t>
      </w:r>
      <w:r>
        <w:rPr>
          <w:rStyle w:val="ListLabel3"/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составления, утвер</w:t>
      </w:r>
      <w:r>
        <w:rPr>
          <w:rFonts w:ascii="Times New Roman" w:hAnsi="Times New Roman"/>
          <w:sz w:val="28"/>
          <w:szCs w:val="28"/>
        </w:rPr>
        <w:t xml:space="preserve">ждения и ведения бюджетных смет </w:t>
      </w:r>
      <w:r>
        <w:rPr>
          <w:rFonts w:ascii="Times New Roman" w:hAnsi="Times New Roman"/>
          <w:sz w:val="28"/>
          <w:szCs w:val="28"/>
        </w:rPr>
        <w:t>Администрации Лахденпохского муниципального района и подведомственных ей казенных учреждений, финансируемых из бюджета Лахден</w:t>
      </w:r>
      <w:r>
        <w:rPr>
          <w:rFonts w:ascii="Times New Roman" w:hAnsi="Times New Roman"/>
          <w:sz w:val="28"/>
          <w:szCs w:val="28"/>
        </w:rPr>
        <w:t xml:space="preserve">похского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3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применяется при составлении, утверждении и ведении бюджетной сметы казенного учреждения, начиная с составления, утверждения и ведения бюджетных смет на 2020 год.</w:t>
      </w:r>
    </w:p>
    <w:p>
      <w:pPr>
        <w:pStyle w:val="ConsPlusNormal"/>
        <w:ind w:firstLine="53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Администрации Лахденпохского муниципального района в информационного-телекоммуникационной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lah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в газете «Призыв».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539"/>
        <w: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3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Администрации Лахденпохского муниципального района  по финансам Огурцову О.П.</w:t>
      </w:r>
      <w:r>
        <w:rPr>
          <w:sz w:val="28"/>
          <w:szCs w:val="28"/>
        </w:rPr>
      </w:r>
    </w:p>
    <w:p>
      <w:pPr>
        <w:ind w:firstLine="624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Лахденпохского</w:t>
      </w:r>
    </w:p>
    <w:p>
      <w:pPr>
        <w:pBdr>
          <w:top w:val="none" w:sz="0" w:space="3" w:color="000000"/>
          <w:left w:val="none" w:sz="0" w:space="3" w:color="000000"/>
          <w:bottom w:val="single" w:sz="8" w:space="2" w:color="000001"/>
          <w:right w:val="none" w:sz="0" w:space="3" w:color="000000"/>
          <w:between w:val="none" w:sz="0" w:space="0" w:color="00000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Разослать: дело, финансовое управление, МКУ «ЦБ», МКУ «ЛЦБОКИД»</w:t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ConsPlusNormal"/>
        <w:spacing/>
        <w:jc w:val="right"/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/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Лахденпохского муниципального района </w:t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№ 513</w:t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center"/>
        <w:rPr>
          <w:rStyle w:val="ListLabel3"/>
          <w:rFonts w:ascii="Times New Roman" w:hAnsi="Times New Roman" w:eastAsia="Arial" w:cs="Courier New"/>
          <w:b/>
          <w:color w:val="000000"/>
          <w:sz w:val="28"/>
          <w:szCs w:val="28"/>
        </w:rPr>
      </w:pPr>
      <w:hyperlink w:anchor="Par37" w:history="1">
        <w:r>
          <w:rPr>
            <w:rStyle w:val="ListLabel3"/>
            <w:rFonts w:ascii="Times New Roman" w:hAnsi="Times New Roman" w:eastAsia="Arial" w:cs="Courier New"/>
            <w:b/>
            <w:color w:val="000000"/>
            <w:sz w:val="28"/>
            <w:szCs w:val="28"/>
          </w:rPr>
          <w:t>Порядок</w:t>
        </w:r>
      </w:hyperlink>
    </w:p>
    <w:p>
      <w:pPr>
        <w:pStyle w:val="ConsPlusNormal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составления, утверждения и ведения бюджетных смет</w:t>
      </w:r>
    </w:p>
    <w:p>
      <w:pPr>
        <w:pStyle w:val="ConsPlusTitle"/>
        <w:spacing/>
        <w:jc w:val="center"/>
        <w:rPr>
          <w:rFonts w:ascii="Times New Roman" w:hAnsi="Times New Roman"/>
          <w:sz w:val="28"/>
          <w:szCs w:val="28"/>
        </w:rPr>
      </w:pPr>
      <w:r/>
      <w:bookmarkStart w:id="1" w:name="Par37"/>
      <w:bookmarkEnd w:id="1"/>
      <w:r/>
      <w:r>
        <w:rPr>
          <w:rFonts w:ascii="Times New Roman" w:hAnsi="Times New Roman"/>
          <w:sz w:val="28"/>
          <w:szCs w:val="28"/>
        </w:rPr>
        <w:t xml:space="preserve">Администрации Лахденпохского муниципального района и подведомственных ей казенных учреждений, финансируемых из бюджета Лахденпохского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>
      <w:pPr>
        <w:pStyle w:val="ConsPlusNormal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</w:pPr>
      <w:r>
        <w:rPr>
          <w:rFonts w:ascii="Times New Roman" w:hAnsi="Times New Roman"/>
          <w:sz w:val="28"/>
          <w:szCs w:val="28"/>
        </w:rPr>
        <w:t>1. Настоящий Порядок составления, утверждения и ведения бюджетных смет Администрации Лахденпохского муниципального района и подведомственных ей казенных учреждений, финансируемых из бюджета Лахденпохского городского поселения (далее – Порядок),  устанавливает правила составления, утверждения и ведения бюджетных смет Администрации Лахденпохского муниципального района (далее – Администрация) и муниципальных казенных учреждений, подведомственных Администрации (далее – Учреждения), финансируемых из бюджета Лахденпохского городского поселения.</w:t>
      </w:r>
      <w:r/>
    </w:p>
    <w:p>
      <w:pPr>
        <w:pStyle w:val=""/>
        <w:spacing/>
        <w:jc w:val="both"/>
      </w:pPr>
      <w:r>
        <w:t xml:space="preserve"> </w:t>
        <w:tab/>
        <w:t xml:space="preserve">Порядок разработан в соответствии с </w:t>
      </w:r>
      <w:r>
        <w:rPr>
          <w:color w:val="000000"/>
        </w:rPr>
        <w:t>приказом Министерства финансов Российской Федерации от 14 февраля 2018 года № 26н «Об общих требованиях к порядку составления</w:t>
      </w:r>
      <w:r>
        <w:t>, утверждения и ведения бюджетных смет казенных учреждений».</w:t>
      </w:r>
    </w:p>
    <w:p>
      <w:pPr>
        <w:pStyle w:val="ConsPlusTitle"/>
        <w:spacing/>
        <w:jc w:val="center"/>
        <w:outlineLvl w:val="1"/>
        <w:rPr>
          <w:b w:val="0"/>
        </w:rPr>
      </w:pPr>
      <w:r>
        <w:rPr>
          <w:b w:val="0"/>
        </w:rPr>
      </w:r>
    </w:p>
    <w:p>
      <w:pPr>
        <w:pStyle w:val="ConsPlusTitle"/>
        <w: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Составление и утверждение бюджетной сметы</w:t>
      </w:r>
    </w:p>
    <w:p>
      <w:pPr>
        <w:pStyle w:val="ConsPlusNormal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Составлением бюджетной сметы является установление объема и распределения направлений расходов средств бюджета Лахденпохского городского поселения на срок решения о бюджете на очередной финансовый год на основании доведенных до Администрации и Учреждений в установленном  порядке лимитов бюджетных обязательств на принятие и (или) исполнение бюджетных обязательств по обеспечению выполнения функций Администрации и Учреждений, включая бюджетные обязательства по предоставлению бюджетных инвестиций, субсидий юридическим лицам (в том числе субсидий бюджетным и автономным учреждениям), субсидий и иных межбюджетных трансфертов (далее - лимиты бюджетных обязательств).</w:t>
      </w:r>
    </w:p>
    <w:p>
      <w:pPr>
        <w:pStyle w:val="ConsPlusNormal"/>
        <w:ind w:firstLine="540"/>
        <w:spacing/>
        <w:jc w:val="both"/>
      </w:pPr>
      <w:r>
        <w:rPr>
          <w:rFonts w:ascii="Times New Roman" w:hAnsi="Times New Roman"/>
          <w:sz w:val="28"/>
          <w:szCs w:val="28"/>
        </w:rPr>
        <w:t xml:space="preserve">3. 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расходов. </w:t>
      </w:r>
      <w:r/>
    </w:p>
    <w:p>
      <w:pPr>
        <w:pStyle w:val="ConsPlusNormal"/>
        <w:ind w:firstLine="539"/>
        <w:spacing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Бюджетная смета Администрации и Учреждений составляется муниципальным казенным учреждением «Централизованная бухгалтерия Лахденпохского муниципального района» (далее – МКУ «ЦБ»)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2 экземплярах по реко</w:t>
      </w:r>
      <w:r>
        <w:rPr>
          <w:rFonts w:ascii="Times New Roman" w:hAnsi="Times New Roman"/>
          <w:sz w:val="28"/>
          <w:szCs w:val="28"/>
        </w:rPr>
        <w:t xml:space="preserve">мендуемому образцу (приложение </w:t>
      </w:r>
      <w:r>
        <w:rPr>
          <w:rFonts w:ascii="Times New Roman" w:hAnsi="Times New Roman"/>
          <w:sz w:val="28"/>
          <w:szCs w:val="28"/>
        </w:rPr>
        <w:t xml:space="preserve"> 1 к настоящему Порядку) в течение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рабочих дней после доведения лимитов бюджетных обязательств. Бюджетная смета</w:t>
      </w:r>
      <w:r>
        <w:rPr>
          <w:rFonts w:ascii="Times New Roman" w:hAnsi="Times New Roman"/>
          <w:sz w:val="28"/>
          <w:szCs w:val="28"/>
        </w:rPr>
        <w:t xml:space="preserve"> Администрации утверждается Главой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его отсутствие - лицом, исполняющим обязанности </w:t>
      </w:r>
      <w:r>
        <w:rPr>
          <w:rFonts w:ascii="Times New Roman" w:hAnsi="Times New Roman"/>
          <w:sz w:val="28"/>
          <w:szCs w:val="28"/>
        </w:rPr>
        <w:t xml:space="preserve">Главы Администрации), бюджетная смета Учреждения </w:t>
      </w:r>
      <w:r>
        <w:rPr>
          <w:rFonts w:ascii="Times New Roman" w:hAnsi="Times New Roman"/>
          <w:sz w:val="28"/>
          <w:szCs w:val="28"/>
        </w:rPr>
        <w:t xml:space="preserve"> утверждается руководителем Учреждения (в его отсутствие - лицом, исполняющим обязанности руководителя Учреждения).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pStyle w:val="ConsPlusNormal"/>
        <w:ind w:firstLine="53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Бюджетная смета </w:t>
      </w:r>
      <w:r>
        <w:rPr>
          <w:rFonts w:ascii="Times New Roman" w:hAnsi="Times New Roman"/>
          <w:sz w:val="28"/>
          <w:szCs w:val="28"/>
        </w:rPr>
        <w:t>подписывается уполномоченным должностным лицом МКУ «ЦБ».</w:t>
      </w:r>
    </w:p>
    <w:p>
      <w:pPr>
        <w:pStyle w:val="ConsPlusNormal"/>
        <w:ind w:firstLine="539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К бюджетной смете прилагаются </w:t>
      </w:r>
      <w:hyperlink r:id="rId9" w:history="1">
        <w:r>
          <w:rPr>
            <w:rFonts w:ascii="Times New Roman" w:hAnsi="Times New Roman"/>
            <w:sz w:val="28"/>
            <w:szCs w:val="28"/>
          </w:rPr>
          <w:t>обоснования</w:t>
        </w:r>
      </w:hyperlink>
      <w:r>
        <w:rPr>
          <w:rFonts w:ascii="Times New Roman" w:hAnsi="Times New Roman"/>
          <w:sz w:val="28"/>
          <w:szCs w:val="28"/>
        </w:rPr>
        <w:t xml:space="preserve"> (расчеты) плановых сметных показателей, использованные при формировании бюджетной сметы, являющиеся неотъемлемой частью бюджетной сметы (приложение  2 к настоящему Порядку).</w:t>
      </w:r>
    </w:p>
    <w:p>
      <w:pPr>
        <w:ind w:firstLine="539"/>
        <w: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  <w:r>
        <w:rPr>
          <w:color w:val="000000"/>
          <w:sz w:val="28"/>
          <w:szCs w:val="28"/>
        </w:rPr>
      </w:r>
    </w:p>
    <w:p>
      <w:pPr>
        <w:ind w:firstLine="54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Учреждения.</w:t>
      </w:r>
    </w:p>
    <w:p>
      <w:pPr>
        <w:ind w:firstLine="54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 позднее одного рабочего дня после утверждения бюджетной сметы Администрации или Учреждения, ответственное лицо МКУ «ЦБ» направляет один экземпляр бюджетной сметы с приложением обоснований (расчетов) плановых сметных показателей в финансовое управление Администрации (далее – Финансовое управление).</w:t>
      </w:r>
    </w:p>
    <w:p>
      <w:pPr>
        <w:pStyle w:val="ConsPlusNormal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Ведение бюджетной сметы</w:t>
      </w:r>
    </w:p>
    <w:p>
      <w:pPr>
        <w:pStyle w:val="ConsPlusNormal"/>
        <w:ind w:firstLine="539"/>
        <w:spacing/>
        <w:jc w:val="both"/>
      </w:pPr>
      <w:r>
        <w:rPr>
          <w:rFonts w:ascii="Times New Roman" w:hAnsi="Times New Roman"/>
          <w:sz w:val="28"/>
          <w:szCs w:val="28"/>
        </w:rPr>
        <w:t>7. Ведением бюджетной сметы в целях настоящего Порядка является внесение изменений в показатели бюджетной сметы в пределах доведенных в установленном порядке объемов соответствующих  лимитов бюджетных обязательств.</w:t>
      </w:r>
      <w:r/>
    </w:p>
    <w:p>
      <w:pPr>
        <w:ind w:firstLine="53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hyperlink r:id="rId10" w:history="1">
        <w:r>
          <w:rPr>
            <w:color w:val="000000"/>
            <w:sz w:val="28"/>
            <w:szCs w:val="28"/>
          </w:rPr>
          <w:t>Изменения</w:t>
        </w:r>
      </w:hyperlink>
      <w:r>
        <w:rPr>
          <w:color w:val="000000"/>
          <w:sz w:val="28"/>
          <w:szCs w:val="28"/>
        </w:rPr>
        <w:t xml:space="preserve"> показателей бюджетной сметы составляются по рекомендуемому образцу (приложение  3 к настоящему Порядку). Одновременно с изменениями показателей бюджетной сметы составляются </w:t>
      </w:r>
      <w:hyperlink r:id="rId11" w:history="1">
        <w:r>
          <w:rPr>
            <w:color w:val="000000"/>
            <w:sz w:val="28"/>
            <w:szCs w:val="28"/>
          </w:rPr>
          <w:t>обоснования</w:t>
        </w:r>
      </w:hyperlink>
      <w:r>
        <w:rPr>
          <w:color w:val="000000"/>
          <w:sz w:val="28"/>
          <w:szCs w:val="28"/>
        </w:rPr>
        <w:t xml:space="preserve"> (расчеты) (приложение  2 к настоящему Порядку), по изменяемым направлениям расходов.</w:t>
      </w:r>
    </w:p>
    <w:p>
      <w:pPr>
        <w:ind w:firstLine="53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Внесение изменений в показатели бюджетной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>
      <w:pPr>
        <w:ind w:firstLine="54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изменяющих объемы сметных назначений в случае изменения доведенного Администрации или Учреждению в установленном порядке объема лимитов бюджетных обязательств;</w:t>
      </w:r>
    </w:p>
    <w:p>
      <w:pPr>
        <w:ind w:firstLine="54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лимитов бюджетных обязательств;</w:t>
      </w:r>
    </w:p>
    <w:p>
      <w:pPr>
        <w:ind w:firstLine="540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Администрации и утвержденного объема лимитов бюджетных обязательств.</w:t>
      </w:r>
    </w:p>
    <w:p>
      <w:pPr>
        <w:ind w:firstLine="53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Внесение изменений в смету, требующее изменения показателей бюджетной росписи Администрации и лимитов бюджетных обязательств, утверждается после внесения в установленном порядке изменений в бюджетную роспись Администрации и лимиты бюджетных обязательств.</w:t>
      </w:r>
    </w:p>
    <w:p>
      <w:pPr>
        <w:ind w:firstLine="539"/>
        <w: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Изменение показателей бюджетной сметы оформляется МКУ «ЦБ» в двух экземплярах </w:t>
      </w:r>
      <w:r>
        <w:rPr>
          <w:sz w:val="28"/>
          <w:szCs w:val="28"/>
        </w:rPr>
        <w:t>в течение 7 рабочих дней после доведения лимитов бюджетных обязательств</w:t>
      </w:r>
      <w:r>
        <w:rPr>
          <w:color w:val="000000"/>
          <w:sz w:val="28"/>
          <w:szCs w:val="28"/>
        </w:rPr>
        <w:t xml:space="preserve"> и утверждается по смете Администрации -  </w:t>
      </w:r>
      <w:r>
        <w:rPr>
          <w:sz w:val="28"/>
          <w:szCs w:val="28"/>
        </w:rPr>
        <w:t>Главой Администрации (в его отсутствие - лицом, исполняющим обязанности Главы Администрации), по смете Учреждения - руководителем Учреждения (в его отсутствие - лицом, исполняющим обязанности руководителя Учреждения).</w:t>
      </w:r>
    </w:p>
    <w:p>
      <w:pPr>
        <w:ind w:firstLine="539"/>
        <w: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Не позднее одного рабочего дней после утверждения изменений показателей бюджетной сметы Администрации или Учреждения, ответственное лицо МКУ «ЦБ» направляет один экземпляр бюджетной сметы с приложением обоснований (расчетов) плановых сметных показателей в финансовое управление Администрации (далее – Финансовое управление).</w:t>
      </w:r>
    </w:p>
    <w:p>
      <w:pPr>
        <w:pStyle w:val="ConsPlusNormal"/>
        <w:ind w:firstLine="539"/>
        <w:spacing/>
        <w:jc w:val="both"/>
      </w:pPr>
      <w:r>
        <w:rPr>
          <w:rFonts w:ascii="Times New Roman" w:hAnsi="Times New Roman"/>
          <w:sz w:val="28"/>
          <w:szCs w:val="28"/>
        </w:rPr>
        <w:t>13. Внесение изменений в показатели бюджетной сметы на текущий финансовый год осуществляется не позднее трех рабочих дней до окончания текущего финансового года.</w:t>
      </w:r>
      <w:r/>
    </w:p>
    <w:p>
      <w:pPr>
        <w:pStyle w:val="ConsPlusNormal"/>
        <w:ind w:firstLine="539"/>
        <w:spacing/>
        <w:jc w:val="both"/>
      </w:pPr>
      <w:r>
        <w:rPr>
          <w:rFonts w:ascii="Times New Roman" w:hAnsi="Times New Roman"/>
          <w:sz w:val="28"/>
          <w:szCs w:val="28"/>
        </w:rPr>
        <w:t>14. Изменения в бюджетную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бюджетной сметы, направляются Учреждением в ЦБ, не позднее одного рабочего дня после утверждения изменений в бюджетную смету (изменений) в показатели обоснований (расчетов) плановых сметных показателей.</w:t>
      </w:r>
      <w:r/>
    </w:p>
    <w:p>
      <w:pPr>
        <w:pStyle w:val="ConsPlusNormal"/>
        <w:ind w:firstLine="539"/>
        <w:spacing/>
        <w:jc w:val="both"/>
      </w:pPr>
      <w:r/>
    </w:p>
    <w:p>
      <w:pPr>
        <w:pStyle w:val="ConsPlusNormal"/>
        <w:ind w:firstLine="539"/>
        <w:spacing/>
        <w:jc w:val="both"/>
      </w:pPr>
      <w:r/>
    </w:p>
    <w:p>
      <w:pPr>
        <w:pStyle w:val="ConsPlusNormal"/>
        <w:ind w:firstLine="539"/>
        <w:spacing/>
        <w:jc w:val="both"/>
      </w:pPr>
      <w:r/>
    </w:p>
    <w:p>
      <w:pPr>
        <w:pStyle w:val="ConsPlusNormal"/>
        <w:ind w:firstLine="539"/>
        <w:spacing/>
        <w:jc w:val="both"/>
      </w:pPr>
      <w:r/>
    </w:p>
    <w:p>
      <w:pPr>
        <w:pStyle w:val="ConsPlusNormal"/>
        <w:ind w:firstLine="539"/>
        <w:spacing/>
        <w:jc w:val="both"/>
      </w:pPr>
      <w:r/>
    </w:p>
    <w:p>
      <w:pPr>
        <w:pStyle w:val="ConsPlusNormal"/>
        <w:ind w:firstLine="539"/>
        <w:spacing/>
        <w:jc w:val="both"/>
      </w:pPr>
      <w:r/>
    </w:p>
    <w:p>
      <w:pPr>
        <w:pStyle w:val="ConsPlusNormal"/>
        <w:ind w:firstLine="539"/>
        <w:spacing/>
        <w:jc w:val="both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Liberation Sans">
    <w:panose1 w:val="020B0604020202020204"/>
    <w:charset w:val="cc"/>
    <w:family w:val="swiss"/>
    <w:pitch w:val="default"/>
  </w:font>
  <w:font w:name="Lucida Sans Unicode">
    <w:panose1 w:val="020B0602030504020204"/>
    <w:charset w:val="cc"/>
    <w:family w:val="swiss"/>
    <w:pitch w:val="default"/>
  </w:font>
  <w:font w:name="Mangal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default"/>
  </w:font>
  <w:font w:name="Cambria">
    <w:panose1 w:val="0202060305040502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eastAsia="Times New Roman" w:cs="Times New Roman"/>
        </w:rPr>
      </w:rPr>
    </w:lvl>
  </w:abstractNum>
  <w:abstractNum w:abstractNumId="2">
    <w:multiLevelType w:val="singleLevel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Arial" w:cs="Courier New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68"/>
      <w:tmLastPosIdx w:val="5"/>
    </w:tmLastPosCaret>
    <w:tmLastPosAnchor>
      <w:tmLastPosPgfIdx w:val="0"/>
      <w:tmLastPosIdx w:val="0"/>
    </w:tmLastPosAnchor>
    <w:tmLastPosTblRect w:left="0" w:top="0" w:right="0" w:bottom="0"/>
    <w:tmAppRevision w:date="1579504646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a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 w:eastAsia="Lucida Sans Unicode" w:cs="Mangal"/>
      <w:sz w:val="28"/>
      <w:szCs w:val="28"/>
    </w:rPr>
  </w:style>
  <w:style w:type="paragraph" w:styleId="">
    <w:name w:val="Body Text"/>
    <w:qFormat/>
    <w:basedOn w:val=""/>
    <w:pPr>
      <w:spacing w:after="120"/>
    </w:pPr>
    <w:rPr>
      <w:sz w:val="28"/>
      <w:szCs w:val="28"/>
    </w:rPr>
  </w:style>
  <w:style w:type="paragraph" w:styleId="">
    <w:name w:val="List"/>
    <w:qFormat/>
    <w:basedOn w:val=""/>
    <w:rPr>
      <w:rFonts w:cs="Mangal"/>
    </w:rPr>
  </w:style>
  <w:style w:type="paragraph" w:styleId="">
    <w:name w:val="caption"/>
    <w:qFormat/>
    <w:basedOn w:val=""/>
    <w:pPr>
      <w:spacing w:before="120" w:after="120"/>
    </w:pPr>
    <w:rPr>
      <w:rFonts w:cs="Mangal"/>
      <w:i/>
      <w:iCs/>
    </w:rPr>
  </w:style>
  <w:style w:type="paragraph" w:styleId="">
    <w:name w:val="Index Heading"/>
    <w:qFormat/>
    <w:basedOn w:val=""/>
    <w:rPr>
      <w:rFonts w:cs="Mangal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Pr>
      <w:rFonts w:ascii="Arial" w:hAnsi="Arial" w:eastAsia="Arial" w:cs="Courier New"/>
      <w:b/>
      <w:color w:val="000000"/>
      <w:sz w:val="20"/>
    </w:rPr>
  </w:style>
  <w:style w:type="paragraph" w:styleId="ConsPlusNormal" w:customStyle="1">
    <w:name w:val="ConsPlusNormal"/>
    <w:qFormat/>
    <w:rPr>
      <w:rFonts w:ascii="Arial" w:hAnsi="Arial" w:eastAsia="Arial" w:cs="Courier New"/>
      <w:color w:val="000000"/>
      <w:sz w:val="20"/>
    </w:rPr>
  </w:style>
  <w:style w:type="paragraph" w:styleId="" w:customStyle="1">
    <w:name w:val="Содержимое таблицы"/>
    <w:qFormat/>
    <w:basedOn w:val=""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color w:val="000000"/>
      <w:sz w:val="20"/>
      <w:szCs w:val="20"/>
    </w:rPr>
  </w:style>
  <w:style w:type="character" w:styleId="-" w:customStyle="1">
    <w:name w:val="Интернет-ссылка"/>
    <w:rPr>
      <w:sz w:val="20"/>
      <w:szCs w:val="20"/>
      <w:u w:color="auto" w:val="single"/>
    </w:rPr>
  </w:style>
  <w:style w:type="character" w:styleId="" w:customStyle="1">
    <w:name w:val="Символы концевой сноски"/>
    <w:rPr>
      <w:color w:val="000000"/>
      <w:sz w:val="20"/>
      <w:szCs w:val="20"/>
    </w:rPr>
  </w:style>
  <w:style w:type="character" w:styleId="ListLabel3" w:customStyle="1">
    <w:name w:val="ListLabel 3"/>
    <w:rPr>
      <w:rFonts w:ascii="Arial" w:hAnsi="Arial"/>
      <w:color w:val="0000ff"/>
      <w:sz w:val="20"/>
      <w:szCs w:val="20"/>
    </w:rPr>
  </w:style>
  <w:style w:type="character" w:styleId="ListLabel4" w:customStyle="1">
    <w:name w:val="ListLabel 4"/>
    <w:rPr>
      <w:color w:val="000000"/>
      <w:sz w:val="28"/>
      <w:szCs w:val="28"/>
    </w:rPr>
  </w:style>
  <w:style w:type="character" w:styleId="ListLabel5" w:customStyle="1">
    <w:name w:val="ListLabel 5"/>
    <w:rPr>
      <w:color w:val="0000ff"/>
      <w:sz w:val="28"/>
      <w:szCs w:val="28"/>
    </w:rPr>
  </w:style>
  <w:style w:type="character" w:styleId="" w:customStyle="1">
    <w:name w:val="Посещённая гиперссылка"/>
    <w:rPr>
      <w:color w:val="800000"/>
      <w:sz w:val="20"/>
      <w:szCs w:val="20"/>
      <w:u w:color="auto" w:val="single"/>
    </w:rPr>
  </w:style>
  <w:style w:type="character" w:styleId="ListLabel6" w:customStyle="1">
    <w:name w:val="ListLabel 6"/>
    <w:rPr>
      <w:color w:val="000000"/>
      <w:sz w:val="28"/>
      <w:szCs w:val="28"/>
    </w:rPr>
  </w:style>
  <w:style w:type="character" w:styleId="ListLabel7" w:customStyle="1">
    <w:name w:val="ListLabel 7"/>
    <w:rPr>
      <w:color w:val="0000ff"/>
      <w:sz w:val="28"/>
      <w:szCs w:val="28"/>
    </w:rPr>
  </w:style>
  <w:style w:type="character" w:styleId="ListLabel8" w:customStyle="1">
    <w:name w:val="ListLabel 8"/>
    <w:rPr>
      <w:color w:val="000000"/>
      <w:sz w:val="28"/>
      <w:szCs w:val="28"/>
      <w:u w:color="auto" w:val="single"/>
    </w:rPr>
  </w:style>
  <w:style w:type="character" w:styleId="ListLabel9" w:customStyle="1">
    <w:name w:val="ListLabel 9"/>
    <w:rPr>
      <w:color w:val="000000"/>
      <w:sz w:val="28"/>
      <w:szCs w:val="28"/>
      <w:u w:color="auto" w:val="single"/>
    </w:rPr>
  </w:style>
  <w:style w:type="character" w:styleId="ListLabel10" w:customStyle="1">
    <w:name w:val="ListLabel 10"/>
    <w:rPr>
      <w:color w:val="000000"/>
      <w:sz w:val="28"/>
      <w:szCs w:val="28"/>
    </w:rPr>
  </w:style>
  <w:style w:type="character" w:styleId="ListLabel11" w:customStyle="1">
    <w:name w:val="ListLabel 11"/>
    <w:rPr>
      <w:color w:val="0000ff"/>
      <w:sz w:val="28"/>
      <w:szCs w:val="28"/>
    </w:rPr>
  </w:style>
  <w:style w:type="character" w:styleId="ListLabel12" w:customStyle="1">
    <w:name w:val="ListLabel 12"/>
    <w:rPr>
      <w:color w:val="000000"/>
      <w:sz w:val="28"/>
      <w:szCs w:val="28"/>
      <w:u w:color="auto" w:val="single"/>
    </w:rPr>
  </w:style>
  <w:style w:type="character" w:styleId="ListLabel13" w:customStyle="1">
    <w:name w:val="ListLabel 13"/>
    <w:rPr>
      <w:color w:val="000000"/>
      <w:sz w:val="28"/>
      <w:szCs w:val="28"/>
      <w:u w:color="auto" w:val="single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color w:val="00000a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 w:eastAsia="Lucida Sans Unicode" w:cs="Mangal"/>
      <w:sz w:val="28"/>
      <w:szCs w:val="28"/>
    </w:rPr>
  </w:style>
  <w:style w:type="paragraph" w:styleId="">
    <w:name w:val="Body Text"/>
    <w:qFormat/>
    <w:basedOn w:val=""/>
    <w:pPr>
      <w:spacing w:after="120"/>
    </w:pPr>
    <w:rPr>
      <w:sz w:val="28"/>
      <w:szCs w:val="28"/>
    </w:rPr>
  </w:style>
  <w:style w:type="paragraph" w:styleId="">
    <w:name w:val="List"/>
    <w:qFormat/>
    <w:basedOn w:val=""/>
    <w:rPr>
      <w:rFonts w:cs="Mangal"/>
    </w:rPr>
  </w:style>
  <w:style w:type="paragraph" w:styleId="">
    <w:name w:val="caption"/>
    <w:qFormat/>
    <w:basedOn w:val=""/>
    <w:pPr>
      <w:spacing w:before="120" w:after="120"/>
    </w:pPr>
    <w:rPr>
      <w:rFonts w:cs="Mangal"/>
      <w:i/>
      <w:iCs/>
    </w:rPr>
  </w:style>
  <w:style w:type="paragraph" w:styleId="">
    <w:name w:val="Index Heading"/>
    <w:qFormat/>
    <w:basedOn w:val=""/>
    <w:rPr>
      <w:rFonts w:cs="Mangal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Pr>
      <w:rFonts w:ascii="Arial" w:hAnsi="Arial" w:eastAsia="Arial" w:cs="Courier New"/>
      <w:b/>
      <w:color w:val="000000"/>
      <w:sz w:val="20"/>
    </w:rPr>
  </w:style>
  <w:style w:type="paragraph" w:styleId="ConsPlusNormal" w:customStyle="1">
    <w:name w:val="ConsPlusNormal"/>
    <w:qFormat/>
    <w:rPr>
      <w:rFonts w:ascii="Arial" w:hAnsi="Arial" w:eastAsia="Arial" w:cs="Courier New"/>
      <w:color w:val="000000"/>
      <w:sz w:val="20"/>
    </w:rPr>
  </w:style>
  <w:style w:type="paragraph" w:styleId="" w:customStyle="1">
    <w:name w:val="Содержимое таблицы"/>
    <w:qFormat/>
    <w:basedOn w:val=""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color w:val="000000"/>
      <w:sz w:val="20"/>
      <w:szCs w:val="20"/>
    </w:rPr>
  </w:style>
  <w:style w:type="character" w:styleId="-" w:customStyle="1">
    <w:name w:val="Интернет-ссылка"/>
    <w:rPr>
      <w:sz w:val="20"/>
      <w:szCs w:val="20"/>
      <w:u w:color="auto" w:val="single"/>
    </w:rPr>
  </w:style>
  <w:style w:type="character" w:styleId="" w:customStyle="1">
    <w:name w:val="Символы концевой сноски"/>
    <w:rPr>
      <w:color w:val="000000"/>
      <w:sz w:val="20"/>
      <w:szCs w:val="20"/>
    </w:rPr>
  </w:style>
  <w:style w:type="character" w:styleId="ListLabel3" w:customStyle="1">
    <w:name w:val="ListLabel 3"/>
    <w:rPr>
      <w:rFonts w:ascii="Arial" w:hAnsi="Arial"/>
      <w:color w:val="0000ff"/>
      <w:sz w:val="20"/>
      <w:szCs w:val="20"/>
    </w:rPr>
  </w:style>
  <w:style w:type="character" w:styleId="ListLabel4" w:customStyle="1">
    <w:name w:val="ListLabel 4"/>
    <w:rPr>
      <w:color w:val="000000"/>
      <w:sz w:val="28"/>
      <w:szCs w:val="28"/>
    </w:rPr>
  </w:style>
  <w:style w:type="character" w:styleId="ListLabel5" w:customStyle="1">
    <w:name w:val="ListLabel 5"/>
    <w:rPr>
      <w:color w:val="0000ff"/>
      <w:sz w:val="28"/>
      <w:szCs w:val="28"/>
    </w:rPr>
  </w:style>
  <w:style w:type="character" w:styleId="" w:customStyle="1">
    <w:name w:val="Посещённая гиперссылка"/>
    <w:rPr>
      <w:color w:val="800000"/>
      <w:sz w:val="20"/>
      <w:szCs w:val="20"/>
      <w:u w:color="auto" w:val="single"/>
    </w:rPr>
  </w:style>
  <w:style w:type="character" w:styleId="ListLabel6" w:customStyle="1">
    <w:name w:val="ListLabel 6"/>
    <w:rPr>
      <w:color w:val="000000"/>
      <w:sz w:val="28"/>
      <w:szCs w:val="28"/>
    </w:rPr>
  </w:style>
  <w:style w:type="character" w:styleId="ListLabel7" w:customStyle="1">
    <w:name w:val="ListLabel 7"/>
    <w:rPr>
      <w:color w:val="0000ff"/>
      <w:sz w:val="28"/>
      <w:szCs w:val="28"/>
    </w:rPr>
  </w:style>
  <w:style w:type="character" w:styleId="ListLabel8" w:customStyle="1">
    <w:name w:val="ListLabel 8"/>
    <w:rPr>
      <w:color w:val="000000"/>
      <w:sz w:val="28"/>
      <w:szCs w:val="28"/>
      <w:u w:color="auto" w:val="single"/>
    </w:rPr>
  </w:style>
  <w:style w:type="character" w:styleId="ListLabel9" w:customStyle="1">
    <w:name w:val="ListLabel 9"/>
    <w:rPr>
      <w:color w:val="000000"/>
      <w:sz w:val="28"/>
      <w:szCs w:val="28"/>
      <w:u w:color="auto" w:val="single"/>
    </w:rPr>
  </w:style>
  <w:style w:type="character" w:styleId="ListLabel10" w:customStyle="1">
    <w:name w:val="ListLabel 10"/>
    <w:rPr>
      <w:color w:val="000000"/>
      <w:sz w:val="28"/>
      <w:szCs w:val="28"/>
    </w:rPr>
  </w:style>
  <w:style w:type="character" w:styleId="ListLabel11" w:customStyle="1">
    <w:name w:val="ListLabel 11"/>
    <w:rPr>
      <w:color w:val="0000ff"/>
      <w:sz w:val="28"/>
      <w:szCs w:val="28"/>
    </w:rPr>
  </w:style>
  <w:style w:type="character" w:styleId="ListLabel12" w:customStyle="1">
    <w:name w:val="ListLabel 12"/>
    <w:rPr>
      <w:color w:val="000000"/>
      <w:sz w:val="28"/>
      <w:szCs w:val="28"/>
      <w:u w:color="auto" w:val="single"/>
    </w:rPr>
  </w:style>
  <w:style w:type="character" w:styleId="ListLabel13" w:customStyle="1">
    <w:name w:val="ListLabel 13"/>
    <w:rPr>
      <w:color w:val="000000"/>
      <w:sz w:val="28"/>
      <w:szCs w:val="28"/>
      <w:u w:color="auto" w:val="single"/>
    </w:rPr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wmf"/><Relationship Id="rId9" Type="http://schemas.openxmlformats.org/officeDocument/2006/relationships/hyperlink" Target="consultantplus://offline/ref=E24C4E7EF25A4926FCA460A477015902CF730853AE46B2D4E40C4E90D6C5F6386071EC2529CDB98011704CB0BDD8A414F078BFDD9AC92DBE174C9355n505N" TargetMode="External"/><Relationship Id="rId10" Type="http://schemas.openxmlformats.org/officeDocument/2006/relationships/hyperlink" Target="consultantplus://offline/ref=6257A51E350D13D608ACCABB744E3F56551C3EDCB7A306CD82A64DAC8B4F0CEA48A0BE7F3DC32AADC688DE0FE926803646472BA06A4AA89751B21315jFOEO" TargetMode="External"/><Relationship Id="rId11" Type="http://schemas.openxmlformats.org/officeDocument/2006/relationships/hyperlink" Target="consultantplus://offline/ref=6257A51E350D13D608ACCABB744E3F56551C3EDCB7A306CD82A64DAC8B4F0CEA48A0BE7F3DC32AADC688DF0EE426803646472BA06A4AA89751B21315jFO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28.12.2018 N 294н"Об утверждении Порядка составления, утверждения и ведения бюджетных смет Министерства финансов Российской Федерации и федеральных казенных учреждений, находящихся в ведении Министерства финансов Российской Федерации"(Зарегистрировано в Минюсте России 25.02.2019 N 53881)</dc:title>
  <dc:subject/>
  <dc:creator>User</dc:creator>
  <cp:keywords/>
  <dc:description/>
  <cp:lastModifiedBy/>
  <cp:revision>7</cp:revision>
  <cp:lastPrinted>2020-01-13T06:54:00Z</cp:lastPrinted>
  <dcterms:created xsi:type="dcterms:W3CDTF">2020-01-10T14:30:00Z</dcterms:created>
  <dcterms:modified xsi:type="dcterms:W3CDTF">2020-01-20T11:17:26Z</dcterms:modified>
</cp:coreProperties>
</file>